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8"/>
        <w:gridCol w:w="2942"/>
        <w:gridCol w:w="3638"/>
        <w:gridCol w:w="1444"/>
        <w:gridCol w:w="2194"/>
        <w:gridCol w:w="277"/>
      </w:tblGrid>
      <w:tr w:rsidR="002F6726" w:rsidRPr="0000104E" w:rsidTr="008D65FF">
        <w:trPr>
          <w:trHeight w:hRule="exact" w:val="284"/>
        </w:trPr>
        <w:tc>
          <w:tcPr>
            <w:tcW w:w="278" w:type="dxa"/>
            <w:shd w:val="clear" w:color="auto" w:fill="FF0000"/>
          </w:tcPr>
          <w:p w:rsidR="002F6726" w:rsidRPr="0000104E" w:rsidRDefault="002F6726" w:rsidP="007269DC"/>
        </w:tc>
        <w:tc>
          <w:tcPr>
            <w:tcW w:w="2942" w:type="dxa"/>
            <w:shd w:val="clear" w:color="auto" w:fill="FF0000"/>
          </w:tcPr>
          <w:p w:rsidR="002F6726" w:rsidRPr="0000104E" w:rsidRDefault="002F6726" w:rsidP="007269DC"/>
        </w:tc>
        <w:tc>
          <w:tcPr>
            <w:tcW w:w="7276" w:type="dxa"/>
            <w:gridSpan w:val="3"/>
            <w:shd w:val="clear" w:color="auto" w:fill="FF0000"/>
          </w:tcPr>
          <w:p w:rsidR="002F6726" w:rsidRPr="0000104E" w:rsidRDefault="002F6726" w:rsidP="007269DC"/>
        </w:tc>
        <w:tc>
          <w:tcPr>
            <w:tcW w:w="277" w:type="dxa"/>
            <w:shd w:val="clear" w:color="auto" w:fill="FF0000"/>
          </w:tcPr>
          <w:p w:rsidR="002F6726" w:rsidRPr="0000104E" w:rsidRDefault="002F6726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  <w:tcBorders>
              <w:bottom w:val="single" w:sz="4" w:space="0" w:color="auto"/>
              <w:right w:val="single" w:sz="4" w:space="0" w:color="auto"/>
            </w:tcBorders>
          </w:tcPr>
          <w:p w:rsidR="0000104E" w:rsidRPr="0000104E" w:rsidRDefault="0000104E" w:rsidP="007269DC">
            <w:r w:rsidRPr="0000104E">
              <w:t xml:space="preserve">Fachgroßhandel </w:t>
            </w:r>
            <w:r w:rsidR="007269DC">
              <w:br/>
            </w:r>
            <w:r w:rsidRPr="0000104E">
              <w:t>Hans Reinhold &amp; Sohn</w:t>
            </w:r>
          </w:p>
        </w:tc>
        <w:tc>
          <w:tcPr>
            <w:tcW w:w="50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E" w:rsidRPr="00EF45FE" w:rsidRDefault="0000104E" w:rsidP="007269DC">
            <w:pPr>
              <w:pStyle w:val="Titel"/>
              <w:rPr>
                <w:color w:val="auto"/>
              </w:rPr>
            </w:pPr>
            <w:r w:rsidRPr="00EF45FE">
              <w:rPr>
                <w:color w:val="auto"/>
              </w:rPr>
              <w:t>Betriebsanweisung</w:t>
            </w:r>
          </w:p>
          <w:p w:rsidR="0000104E" w:rsidRPr="0000104E" w:rsidRDefault="0000104E" w:rsidP="007269DC">
            <w:pPr>
              <w:pStyle w:val="Untertitel"/>
            </w:pPr>
            <w:r w:rsidRPr="0000104E">
              <w:t>gem. § 14 GefS</w:t>
            </w:r>
            <w:bookmarkStart w:id="0" w:name="_GoBack"/>
            <w:bookmarkEnd w:id="0"/>
            <w:r w:rsidRPr="0000104E">
              <w:t>toffV</w:t>
            </w:r>
          </w:p>
        </w:tc>
        <w:tc>
          <w:tcPr>
            <w:tcW w:w="2194" w:type="dxa"/>
            <w:tcBorders>
              <w:left w:val="single" w:sz="4" w:space="0" w:color="auto"/>
              <w:bottom w:val="single" w:sz="4" w:space="0" w:color="auto"/>
            </w:tcBorders>
          </w:tcPr>
          <w:p w:rsidR="0000104E" w:rsidRDefault="0000104E" w:rsidP="007269DC">
            <w:r>
              <w:t xml:space="preserve">Datum: </w:t>
            </w:r>
          </w:p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p w:rsidR="00407340" w:rsidRDefault="00407340">
                <w:r>
                  <w:t xml:space="preserve">Seite </w:t>
                </w:r>
                <w:r w:rsidR="00EF45FE">
                  <w:fldChar w:fldCharType="begin"/>
                </w:r>
                <w:r w:rsidR="00EF45FE">
                  <w:instrText xml:space="preserve"> PAGE </w:instrText>
                </w:r>
                <w:r w:rsidR="00EF45FE">
                  <w:fldChar w:fldCharType="separate"/>
                </w:r>
                <w:r w:rsidR="00EF45FE">
                  <w:rPr>
                    <w:noProof/>
                  </w:rPr>
                  <w:t>1</w:t>
                </w:r>
                <w:r w:rsidR="00EF45FE">
                  <w:rPr>
                    <w:noProof/>
                  </w:rPr>
                  <w:fldChar w:fldCharType="end"/>
                </w:r>
                <w:r>
                  <w:t xml:space="preserve"> von </w:t>
                </w:r>
                <w:r w:rsidR="00EF45FE">
                  <w:fldChar w:fldCharType="begin"/>
                </w:r>
                <w:r w:rsidR="00EF45FE">
                  <w:instrText xml:space="preserve"> NUMPAGES  </w:instrText>
                </w:r>
                <w:r w:rsidR="00EF45FE">
                  <w:fldChar w:fldCharType="separate"/>
                </w:r>
                <w:r w:rsidR="00EF45FE">
                  <w:rPr>
                    <w:noProof/>
                  </w:rPr>
                  <w:t>3</w:t>
                </w:r>
                <w:r w:rsidR="00EF45FE">
                  <w:rPr>
                    <w:noProof/>
                  </w:rPr>
                  <w:fldChar w:fldCharType="end"/>
                </w:r>
              </w:p>
            </w:sdtContent>
          </w:sdt>
          <w:p w:rsidR="00407340" w:rsidRPr="0000104E" w:rsidRDefault="00407340" w:rsidP="007269DC"/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7269DC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</w:tcPr>
          <w:p w:rsidR="0000104E" w:rsidRPr="0000104E" w:rsidRDefault="0000104E" w:rsidP="007269DC">
            <w:r w:rsidRPr="0000104E">
              <w:t>Arbeitsbereich</w:t>
            </w:r>
            <w:r>
              <w:t xml:space="preserve">: </w:t>
            </w:r>
          </w:p>
        </w:tc>
        <w:tc>
          <w:tcPr>
            <w:tcW w:w="72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0104E" w:rsidRPr="0000104E" w:rsidRDefault="0000104E" w:rsidP="007269DC">
            <w:r>
              <w:t>Arbeitsplatz/Tätigkeit: Umgang mit Reinigungsmitteln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FD5484">
            <w:pPr>
              <w:pStyle w:val="berschrift1"/>
              <w:outlineLvl w:val="0"/>
            </w:pPr>
          </w:p>
        </w:tc>
        <w:tc>
          <w:tcPr>
            <w:tcW w:w="10218" w:type="dxa"/>
            <w:gridSpan w:val="4"/>
            <w:shd w:val="clear" w:color="auto" w:fill="FF9900"/>
            <w:tcMar>
              <w:top w:w="0" w:type="dxa"/>
              <w:bottom w:w="0" w:type="dxa"/>
            </w:tcMar>
            <w:vAlign w:val="center"/>
          </w:tcPr>
          <w:p w:rsidR="0000104E" w:rsidRPr="00FD5484" w:rsidRDefault="0000104E" w:rsidP="00FD5484">
            <w:pPr>
              <w:pStyle w:val="berschrift1"/>
              <w:outlineLvl w:val="0"/>
            </w:pPr>
            <w:r>
              <w:t>Gefahrstoffbezeichnung</w:t>
            </w:r>
          </w:p>
        </w:tc>
        <w:tc>
          <w:tcPr>
            <w:tcW w:w="277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FD5484">
            <w:pPr>
              <w:pStyle w:val="berschrift1"/>
              <w:outlineLvl w:val="0"/>
            </w:pPr>
          </w:p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2F6726" w:rsidRPr="0000104E" w:rsidRDefault="002F6726" w:rsidP="007269DC"/>
        </w:tc>
        <w:tc>
          <w:tcPr>
            <w:tcW w:w="2942" w:type="dxa"/>
          </w:tcPr>
          <w:p w:rsidR="002F6726" w:rsidRPr="0000104E" w:rsidRDefault="002F6726" w:rsidP="007269DC"/>
        </w:tc>
        <w:tc>
          <w:tcPr>
            <w:tcW w:w="7276" w:type="dxa"/>
            <w:gridSpan w:val="3"/>
            <w:vAlign w:val="center"/>
          </w:tcPr>
          <w:p w:rsidR="002F6726" w:rsidRPr="0000104E" w:rsidRDefault="00ED0880" w:rsidP="00ED0880">
            <w:pPr>
              <w:pStyle w:val="berschrift2"/>
              <w:outlineLvl w:val="1"/>
            </w:pPr>
            <w:r>
              <w:t>Erstes</w:t>
            </w:r>
            <w:r w:rsidR="007269DC" w:rsidRPr="007269DC">
              <w:t xml:space="preserve"> Erzgebirgische</w:t>
            </w:r>
            <w:r>
              <w:t>s Bohnerwachs fest</w:t>
            </w:r>
          </w:p>
        </w:tc>
        <w:tc>
          <w:tcPr>
            <w:tcW w:w="277" w:type="dxa"/>
            <w:shd w:val="clear" w:color="auto" w:fill="FF0000"/>
          </w:tcPr>
          <w:p w:rsidR="002F6726" w:rsidRPr="0000104E" w:rsidRDefault="002F6726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9900"/>
            <w:tcMar>
              <w:top w:w="0" w:type="dxa"/>
              <w:bottom w:w="0" w:type="dxa"/>
            </w:tcMar>
            <w:vAlign w:val="center"/>
          </w:tcPr>
          <w:p w:rsidR="0000104E" w:rsidRPr="0000104E" w:rsidRDefault="0000104E" w:rsidP="00FD5484">
            <w:pPr>
              <w:pStyle w:val="berschrift1"/>
              <w:outlineLvl w:val="0"/>
            </w:pPr>
            <w:r>
              <w:t>Gefahren für Mensch und Umwelt</w:t>
            </w:r>
          </w:p>
        </w:tc>
        <w:tc>
          <w:tcPr>
            <w:tcW w:w="277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</w:tcPr>
          <w:p w:rsidR="0000104E" w:rsidRPr="0000104E" w:rsidRDefault="00C830C2" w:rsidP="00F23196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718999" cy="720000"/>
                  <wp:effectExtent l="0" t="0" r="5080" b="444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HS02_flamme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99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720000" cy="720000"/>
                  <wp:effectExtent l="0" t="0" r="4445" b="444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HS08_silhouete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  <w:lang w:eastAsia="de-DE" w:bidi="ar-SA"/>
              </w:rPr>
              <w:drawing>
                <wp:inline distT="0" distB="0" distL="0" distR="0" wp14:anchorId="25362342" wp14:editId="28F36263">
                  <wp:extent cx="721004" cy="720000"/>
                  <wp:effectExtent l="0" t="0" r="3175" b="444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HS07_exclam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00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00104E" w:rsidRDefault="007269DC" w:rsidP="007269DC">
            <w:pPr>
              <w:pStyle w:val="berschrift3"/>
              <w:outlineLvl w:val="2"/>
            </w:pPr>
            <w:r w:rsidRPr="007269DC">
              <w:t>Gefahren für Mensch</w:t>
            </w:r>
          </w:p>
          <w:p w:rsidR="007269DC" w:rsidRDefault="00C830C2" w:rsidP="00C830C2">
            <w:r>
              <w:t>Flüssigkeit und Dampf entzündbar</w:t>
            </w:r>
            <w:r>
              <w:t xml:space="preserve"> (Flammpunkt 40 – 46 °C)</w:t>
            </w:r>
            <w:r>
              <w:t>. Kann Schläfrigkeit und Benommenheit verursachen. Kann bei Verschlucken und Eindringen in die Atemwege tödlich sein. Wiederholter Kontakt kann zu spröder oder rissiger Haut führen.</w:t>
            </w:r>
          </w:p>
          <w:p w:rsidR="007269DC" w:rsidRDefault="007269DC" w:rsidP="007269DC">
            <w:pPr>
              <w:pStyle w:val="berschrift3"/>
              <w:outlineLvl w:val="2"/>
            </w:pPr>
            <w:r w:rsidRPr="007269DC">
              <w:t>Gefahren für Umwelt</w:t>
            </w:r>
          </w:p>
          <w:p w:rsidR="00C830C2" w:rsidRDefault="00C830C2" w:rsidP="00C830C2">
            <w:pPr>
              <w:spacing w:after="0"/>
            </w:pPr>
            <w:r>
              <w:t>Persistenz und Abbaubarkeit</w:t>
            </w:r>
            <w:r>
              <w:t>:</w:t>
            </w:r>
            <w:r>
              <w:t xml:space="preserve"> leicht biologisch abbaubar</w:t>
            </w:r>
            <w:r>
              <w:t>.</w:t>
            </w:r>
          </w:p>
          <w:p w:rsidR="00C830C2" w:rsidRDefault="00C830C2" w:rsidP="00C830C2">
            <w:pPr>
              <w:spacing w:after="0"/>
            </w:pPr>
            <w:r>
              <w:t>Bioakkumulationspotenzial</w:t>
            </w:r>
            <w:r>
              <w:t>:</w:t>
            </w:r>
            <w:r>
              <w:t xml:space="preserve"> Bioakkumulation potentiell möglich.</w:t>
            </w:r>
          </w:p>
          <w:p w:rsidR="00C830C2" w:rsidRDefault="00C830C2" w:rsidP="00C830C2">
            <w:pPr>
              <w:spacing w:after="0"/>
            </w:pPr>
            <w:r>
              <w:t>Mobilität im Boden</w:t>
            </w:r>
            <w:r>
              <w:t>:</w:t>
            </w:r>
            <w:r>
              <w:t xml:space="preserve"> Keine weiteren relevanten Informationen verfügbar.</w:t>
            </w:r>
          </w:p>
          <w:p w:rsidR="00C830C2" w:rsidRDefault="00C830C2" w:rsidP="00C830C2">
            <w:pPr>
              <w:spacing w:after="0"/>
            </w:pPr>
            <w:r>
              <w:t>Wassergefährdungsklasse 1 (Selbsteinstufung): schwach wassergefährdend</w:t>
            </w:r>
            <w:r>
              <w:t>.</w:t>
            </w:r>
          </w:p>
          <w:p w:rsidR="00ED0880" w:rsidRPr="007269DC" w:rsidRDefault="00C830C2" w:rsidP="00C830C2">
            <w:pPr>
              <w:spacing w:after="0"/>
            </w:pPr>
            <w:r>
              <w:t>Nicht unverdünnt bzw. in größeren Mengen in das Grundwasser, in Gewässer oder in die Kanalisation gelangen lassen.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9900"/>
            <w:tcMar>
              <w:top w:w="0" w:type="dxa"/>
              <w:bottom w:w="0" w:type="dxa"/>
            </w:tcMar>
            <w:vAlign w:val="center"/>
          </w:tcPr>
          <w:p w:rsidR="0000104E" w:rsidRPr="0000104E" w:rsidRDefault="0000104E" w:rsidP="00083724">
            <w:pPr>
              <w:pStyle w:val="berschrift1"/>
              <w:outlineLvl w:val="0"/>
            </w:pPr>
            <w:proofErr w:type="spellStart"/>
            <w:r>
              <w:t>Schutzmaßnahmen</w:t>
            </w:r>
            <w:proofErr w:type="spellEnd"/>
            <w:r>
              <w:t xml:space="preserve"> und Verhaltensregeln</w:t>
            </w:r>
          </w:p>
        </w:tc>
        <w:tc>
          <w:tcPr>
            <w:tcW w:w="277" w:type="dxa"/>
            <w:shd w:val="clear" w:color="auto" w:fill="FF0000"/>
            <w:tcMar>
              <w:top w:w="0" w:type="dxa"/>
              <w:bottom w:w="0" w:type="dxa"/>
            </w:tcMar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</w:tcPr>
          <w:p w:rsidR="0000104E" w:rsidRPr="0000104E" w:rsidRDefault="008D3267" w:rsidP="00BE710F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7483"/>
                  <wp:effectExtent l="19050" t="0" r="0" b="0"/>
                  <wp:docPr id="6" name="Grafik 5" descr="m04-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4-4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10F">
              <w:br/>
            </w:r>
            <w:r w:rsidR="00BE710F">
              <w:br/>
            </w:r>
            <w:r w:rsidR="009F35D9">
              <w:rPr>
                <w:noProof/>
                <w:lang w:eastAsia="de-DE" w:bidi="ar-SA"/>
              </w:rPr>
              <w:drawing>
                <wp:inline distT="0" distB="0" distL="0" distR="0">
                  <wp:extent cx="836809" cy="828000"/>
                  <wp:effectExtent l="19050" t="0" r="1391" b="0"/>
                  <wp:docPr id="24" name="Grafik 23" descr="m01-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1-40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809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4D55">
              <w:br/>
            </w:r>
            <w:r w:rsidR="003A61F6">
              <w:br/>
            </w:r>
            <w:r w:rsidR="009F35D9">
              <w:rPr>
                <w:noProof/>
                <w:lang w:eastAsia="de-DE" w:bidi="ar-SA"/>
              </w:rPr>
              <w:drawing>
                <wp:inline distT="0" distB="0" distL="0" distR="0">
                  <wp:extent cx="828000" cy="819284"/>
                  <wp:effectExtent l="19050" t="0" r="0" b="0"/>
                  <wp:docPr id="25" name="Grafik 24" descr="m06-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06-40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1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4D55">
              <w:br/>
            </w:r>
            <w:r w:rsidR="003A61F6">
              <w:br/>
            </w:r>
            <w:r w:rsidR="003A61F6"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1" name="Grafik 25" descr="p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9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10F">
              <w:br/>
            </w:r>
            <w:r w:rsidR="00BE710F">
              <w:br/>
            </w:r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10" name="Grafik 9" descr="p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2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9C2A0B" w:rsidRDefault="009C2A0B" w:rsidP="00724D97">
            <w:pPr>
              <w:pStyle w:val="berschrift3"/>
              <w:outlineLvl w:val="2"/>
            </w:pPr>
            <w:r>
              <w:t>Technische Schutzmaßnahmen und Verhaltensregeln</w:t>
            </w:r>
          </w:p>
          <w:p w:rsidR="002B0070" w:rsidRDefault="009C2A0B" w:rsidP="00ED0880">
            <w:pPr>
              <w:ind w:left="1458" w:hanging="1417"/>
            </w:pPr>
            <w:r>
              <w:t>Arbeitsstä</w:t>
            </w:r>
            <w:r w:rsidR="00724D97">
              <w:t>tte:</w:t>
            </w:r>
            <w:r w:rsidR="00724D97">
              <w:tab/>
            </w:r>
            <w:r w:rsidR="00ED0880">
              <w:t>Für gute Lüftung sorgen. Dies kann durch lokale Absaugung oder allgemeine Abluft erreicht werden. Falls dies nicht ausreicht, um die Konzentration unter den MAK-Werten zu halten, ist ein geeigneter Atemschutz zu tragen.</w:t>
            </w:r>
          </w:p>
          <w:p w:rsidR="00A73554" w:rsidRPr="00A73554" w:rsidRDefault="00A73554" w:rsidP="00A73554">
            <w:pPr>
              <w:pStyle w:val="berschrift3"/>
            </w:pPr>
            <w:r w:rsidRPr="00A73554">
              <w:t xml:space="preserve">Bestandteile mit arbeitsplatzbezogenen, zu überwachenden Grenzwerten: </w:t>
            </w:r>
          </w:p>
          <w:p w:rsidR="00A73554" w:rsidRDefault="00A73554" w:rsidP="00A7355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AGW: 600 mg/m3 (TRGS 900, Deutschland) </w:t>
            </w:r>
          </w:p>
          <w:p w:rsidR="00A73554" w:rsidRDefault="00A73554" w:rsidP="00A7355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DNEL-Werte </w:t>
            </w:r>
            <w:r>
              <w:rPr>
                <w:i/>
                <w:iCs/>
                <w:sz w:val="20"/>
                <w:szCs w:val="20"/>
              </w:rPr>
              <w:t xml:space="preserve">Arbeiter: </w:t>
            </w:r>
          </w:p>
          <w:p w:rsidR="00A73554" w:rsidRDefault="00A73554" w:rsidP="00A7355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Langfristige Exposition- systemische Effekte, dermal: 300 mg/kg/d </w:t>
            </w:r>
          </w:p>
          <w:p w:rsidR="00A73554" w:rsidRDefault="00A73554" w:rsidP="00A73554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Kurzzeitige Exposition - systemische Effekte, </w:t>
            </w:r>
            <w:proofErr w:type="spellStart"/>
            <w:r>
              <w:rPr>
                <w:i/>
                <w:iCs/>
                <w:sz w:val="20"/>
                <w:szCs w:val="20"/>
              </w:rPr>
              <w:t>inhalativ</w:t>
            </w:r>
            <w:proofErr w:type="spellEnd"/>
            <w:r>
              <w:rPr>
                <w:i/>
                <w:iCs/>
                <w:sz w:val="20"/>
                <w:szCs w:val="20"/>
              </w:rPr>
              <w:t>: 1500 mg/m</w:t>
            </w:r>
            <w:r>
              <w:rPr>
                <w:i/>
                <w:iCs/>
                <w:sz w:val="20"/>
                <w:szCs w:val="20"/>
              </w:rPr>
              <w:t>³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:rsidR="00A73554" w:rsidRDefault="00A73554" w:rsidP="00A73554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Verbraucher: </w:t>
            </w:r>
          </w:p>
          <w:p w:rsidR="00A73554" w:rsidRDefault="00A73554" w:rsidP="00A73554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Langfristige Exposition - systemische Effekte, dermal: 300 mg/kg/d </w:t>
            </w:r>
          </w:p>
          <w:p w:rsidR="00A73554" w:rsidRDefault="00A73554" w:rsidP="00A73554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Langfristige Exposition - systemische Effekte, oral: 300 mg/kg/d </w:t>
            </w:r>
          </w:p>
          <w:p w:rsidR="00A73554" w:rsidRDefault="00A73554" w:rsidP="00A73554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Langfristige Exposition - systemische Effekte, </w:t>
            </w:r>
            <w:proofErr w:type="spellStart"/>
            <w:r>
              <w:rPr>
                <w:i/>
                <w:iCs/>
                <w:sz w:val="20"/>
                <w:szCs w:val="20"/>
              </w:rPr>
              <w:t>inhalativ</w:t>
            </w:r>
            <w:proofErr w:type="spellEnd"/>
            <w:r>
              <w:rPr>
                <w:i/>
                <w:iCs/>
                <w:sz w:val="20"/>
                <w:szCs w:val="20"/>
              </w:rPr>
              <w:t>: 900 mg/m</w:t>
            </w:r>
            <w:r>
              <w:rPr>
                <w:i/>
                <w:iCs/>
                <w:sz w:val="20"/>
                <w:szCs w:val="20"/>
              </w:rPr>
              <w:t>³</w:t>
            </w:r>
          </w:p>
          <w:p w:rsidR="00A73554" w:rsidRDefault="00A73554" w:rsidP="00A73554">
            <w:pPr>
              <w:pStyle w:val="Default"/>
              <w:rPr>
                <w:sz w:val="20"/>
                <w:szCs w:val="20"/>
              </w:rPr>
            </w:pPr>
          </w:p>
          <w:p w:rsidR="009C2A0B" w:rsidRDefault="00FF3205" w:rsidP="00A73554">
            <w:pPr>
              <w:ind w:left="1458" w:hanging="1417"/>
            </w:pPr>
            <w:r>
              <w:t>Handhabung</w:t>
            </w:r>
            <w:r w:rsidR="009C2A0B">
              <w:t xml:space="preserve">: </w:t>
            </w:r>
            <w:r w:rsidR="009C2A0B">
              <w:tab/>
            </w:r>
            <w:r>
              <w:t>Für gute Raumlüftung sorgen.</w:t>
            </w:r>
            <w:r>
              <w:br/>
              <w:t>Zündquellen fernhalten – Nicht rauchen.</w:t>
            </w:r>
            <w:r>
              <w:br/>
              <w:t>Maßnahmen gegen elektrostatische Aufladungen treffen.</w:t>
            </w:r>
          </w:p>
          <w:p w:rsidR="009C2A0B" w:rsidRDefault="009C2A0B" w:rsidP="00724D97">
            <w:pPr>
              <w:ind w:left="1458" w:hanging="1417"/>
            </w:pPr>
            <w:r>
              <w:t>Transport</w:t>
            </w:r>
            <w:r w:rsidR="00724D97">
              <w:t>:</w:t>
            </w:r>
            <w:r w:rsidR="00724D97">
              <w:tab/>
            </w:r>
            <w:r>
              <w:t xml:space="preserve">Gefäße geschlossen halten. </w:t>
            </w:r>
          </w:p>
          <w:p w:rsidR="0000104E" w:rsidRDefault="009C2A0B" w:rsidP="002B0070">
            <w:pPr>
              <w:ind w:left="1458" w:hanging="1417"/>
            </w:pPr>
            <w:r>
              <w:t>Lagerung</w:t>
            </w:r>
            <w:r w:rsidR="00724D97">
              <w:tab/>
            </w:r>
            <w:r w:rsidR="002B0070">
              <w:t>Vor starker Sonneneinstrahlung sowie Wärmeeinwirkung schützen.</w:t>
            </w:r>
            <w:r w:rsidR="002B0070">
              <w:br/>
              <w:t>Kühl lagern</w:t>
            </w:r>
            <w:r w:rsidR="00A73554">
              <w:t xml:space="preserve">. </w:t>
            </w:r>
            <w:r w:rsidR="002B0070">
              <w:t>An gut belüftetem Ort lagern.</w:t>
            </w:r>
          </w:p>
          <w:p w:rsidR="00724D97" w:rsidRDefault="00724D97" w:rsidP="00724D97">
            <w:pPr>
              <w:pStyle w:val="berschrift3"/>
              <w:outlineLvl w:val="2"/>
            </w:pPr>
            <w:r>
              <w:t>Persönliche Schutzmaßnahmen und Verhaltensregeln</w:t>
            </w:r>
          </w:p>
          <w:p w:rsidR="002B0070" w:rsidRDefault="002B0070" w:rsidP="002B0070">
            <w:pPr>
              <w:ind w:left="1458" w:hanging="1417"/>
            </w:pPr>
            <w:r>
              <w:t>Atemschutz:</w:t>
            </w:r>
            <w:r>
              <w:tab/>
            </w:r>
            <w:r w:rsidR="00A73554" w:rsidRPr="00A73554">
              <w:t xml:space="preserve">Bei kurzzeitiger oder geringer Belastung Atemfiltergerät; </w:t>
            </w:r>
            <w:r w:rsidR="00A73554">
              <w:br/>
            </w:r>
            <w:r w:rsidR="00A73554" w:rsidRPr="00A73554">
              <w:t xml:space="preserve">bei intensiver bzw. längerer Exposition </w:t>
            </w:r>
            <w:proofErr w:type="spellStart"/>
            <w:r w:rsidR="00A73554" w:rsidRPr="00A73554">
              <w:t>umluftunabhängiges</w:t>
            </w:r>
            <w:proofErr w:type="spellEnd"/>
            <w:r w:rsidR="00A73554" w:rsidRPr="00A73554">
              <w:t xml:space="preserve"> Atemschutzgerät verwenden.</w:t>
            </w:r>
          </w:p>
          <w:p w:rsidR="00A73554" w:rsidRDefault="002B0070" w:rsidP="00A73554">
            <w:pPr>
              <w:ind w:left="1458" w:hanging="1417"/>
            </w:pPr>
            <w:r>
              <w:t>Handschutz:</w:t>
            </w:r>
            <w:r>
              <w:tab/>
            </w:r>
            <w:r w:rsidR="00A73554">
              <w:t>Schutzhandschuhe</w:t>
            </w:r>
            <w:r w:rsidR="00A73554">
              <w:t xml:space="preserve">. </w:t>
            </w:r>
            <w:r w:rsidR="00A73554">
              <w:t>Das Handschuhmaterial muss undurchlässig und beständig gegen das Produkt / den Stoff / die Zubereitung sein.</w:t>
            </w:r>
          </w:p>
          <w:p w:rsidR="00A73554" w:rsidRDefault="00A73554" w:rsidP="00A73554">
            <w:pPr>
              <w:ind w:left="1458" w:firstLine="32"/>
            </w:pPr>
            <w:r>
              <w:lastRenderedPageBreak/>
              <w:t xml:space="preserve">Auswahl des Handschuhmaterials unter Beachtung der Durchbruchzeiten, </w:t>
            </w:r>
            <w:proofErr w:type="spellStart"/>
            <w:r>
              <w:t>Permeationsraten</w:t>
            </w:r>
            <w:proofErr w:type="spellEnd"/>
            <w:r>
              <w:t xml:space="preserve"> und der Degradation.</w:t>
            </w:r>
          </w:p>
          <w:p w:rsidR="00A73554" w:rsidRDefault="00A73554" w:rsidP="00A73554">
            <w:pPr>
              <w:tabs>
                <w:tab w:val="left" w:pos="3300"/>
              </w:tabs>
              <w:ind w:left="1458" w:firstLine="32"/>
            </w:pPr>
            <w:r>
              <w:t>Handschuhmaterial</w:t>
            </w:r>
            <w:r>
              <w:t>:</w:t>
            </w:r>
            <w:r>
              <w:tab/>
            </w:r>
            <w:proofErr w:type="spellStart"/>
            <w:r>
              <w:t>Nitrilkautschuk</w:t>
            </w:r>
            <w:proofErr w:type="spellEnd"/>
            <w:r>
              <w:br/>
            </w:r>
            <w:r>
              <w:tab/>
            </w:r>
            <w:r>
              <w:t>Handschuhe aus PVC</w:t>
            </w:r>
            <w:r>
              <w:t xml:space="preserve">, </w:t>
            </w:r>
            <w:r>
              <w:t>Neoprenkautschuk</w:t>
            </w:r>
          </w:p>
          <w:p w:rsidR="00A73554" w:rsidRDefault="00A73554" w:rsidP="00A73554">
            <w:pPr>
              <w:ind w:left="1458" w:firstLine="32"/>
            </w:pPr>
            <w:r>
              <w:t>Die Auswahl eines geeigneten Handschuhs ist nicht nur vom Material, sondern auch von weiteren Qualitätsmerkmalen abhängig und von Hersteller zu Hersteller unterschiedlich.</w:t>
            </w:r>
          </w:p>
          <w:p w:rsidR="002B0070" w:rsidRDefault="00A73554" w:rsidP="00A73554">
            <w:pPr>
              <w:ind w:left="1458" w:firstLine="32"/>
            </w:pPr>
            <w:r>
              <w:t>Durchdringungszeit des Handschuhmaterials</w:t>
            </w:r>
            <w:r>
              <w:t xml:space="preserve">: </w:t>
            </w:r>
            <w:r>
              <w:t>Die genaue Durchbruchzeit ist beim Schutzhandschuhhersteller zu erfahren und einzuhalten.</w:t>
            </w:r>
          </w:p>
          <w:p w:rsidR="002B0070" w:rsidRDefault="002B0070" w:rsidP="002B0070">
            <w:pPr>
              <w:ind w:left="1458" w:hanging="1417"/>
            </w:pPr>
            <w:r>
              <w:t>Augenschutz:</w:t>
            </w:r>
            <w:r>
              <w:tab/>
            </w:r>
            <w:r w:rsidR="00A73554" w:rsidRPr="00A73554">
              <w:t>Dichtschließende Schutzbrille</w:t>
            </w:r>
          </w:p>
          <w:p w:rsidR="00724D97" w:rsidRDefault="002B0070" w:rsidP="002B0070">
            <w:pPr>
              <w:ind w:left="1458" w:hanging="1417"/>
            </w:pPr>
            <w:r>
              <w:t>Körperschutz:</w:t>
            </w:r>
            <w:r>
              <w:tab/>
            </w:r>
            <w:r w:rsidR="00A73554" w:rsidRPr="00A73554">
              <w:t>Lösemittelbeständige Schutzkleidung</w:t>
            </w:r>
          </w:p>
          <w:p w:rsidR="00724D97" w:rsidRDefault="00724D97" w:rsidP="00724D97">
            <w:pPr>
              <w:pStyle w:val="berschrift3"/>
              <w:outlineLvl w:val="2"/>
            </w:pPr>
            <w:r>
              <w:t>Hygienische Schutzmaßnahmen und Verhaltensregeln</w:t>
            </w:r>
          </w:p>
          <w:p w:rsidR="00FD5484" w:rsidRPr="0000104E" w:rsidRDefault="00724D97" w:rsidP="002B0070">
            <w:pPr>
              <w:ind w:left="41"/>
            </w:pPr>
            <w:r>
              <w:t xml:space="preserve">Während des Umgangs mit dem Produkt keine Nahrungs- und </w:t>
            </w:r>
            <w:r w:rsidR="00007AF7">
              <w:t>Genussmittel</w:t>
            </w:r>
            <w:r>
              <w:t xml:space="preserve"> zu sich nehmen. Keine Nahrungsmittel und Getränke im Arbeits- und Lagerraum aufbewahren. Nach Beendigung der Arbeit und vor den Pausen Hände reinigen und pflegen.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0000"/>
            <w:vAlign w:val="center"/>
          </w:tcPr>
          <w:p w:rsidR="0000104E" w:rsidRPr="0000104E" w:rsidRDefault="0000104E" w:rsidP="00083724">
            <w:pPr>
              <w:pStyle w:val="berschrift1"/>
              <w:outlineLvl w:val="0"/>
            </w:pPr>
            <w:r>
              <w:t>Verhalten im Gefahrfall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F37140" w:rsidRPr="0000104E" w:rsidTr="008D65FF">
        <w:tc>
          <w:tcPr>
            <w:tcW w:w="278" w:type="dxa"/>
            <w:shd w:val="clear" w:color="auto" w:fill="FF0000"/>
          </w:tcPr>
          <w:p w:rsidR="00F37140" w:rsidRPr="0000104E" w:rsidRDefault="00F37140" w:rsidP="009A3828"/>
        </w:tc>
        <w:tc>
          <w:tcPr>
            <w:tcW w:w="2942" w:type="dxa"/>
          </w:tcPr>
          <w:p w:rsidR="00F37140" w:rsidRPr="0000104E" w:rsidRDefault="00F37140" w:rsidP="009A3828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3" name="Grafik 1" descr="F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05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F37140" w:rsidRDefault="00F37140" w:rsidP="009A3828">
            <w:pPr>
              <w:pStyle w:val="berschrift3"/>
              <w:outlineLvl w:val="2"/>
            </w:pPr>
            <w:r>
              <w:t>Maßnahmen zur Brandbekämpfung</w:t>
            </w:r>
          </w:p>
          <w:p w:rsidR="00031E84" w:rsidRDefault="00213A6F" w:rsidP="00031E84">
            <w:r>
              <w:t xml:space="preserve">Geeignete Löschmittel: </w:t>
            </w:r>
            <w:r w:rsidR="00031E84">
              <w:t>CO2, Löschpulver oder Wassersprühstrahl. Größeren Brand mit Wassersprühstrahl oder alkoholbeständigem Schaum bekämpfen.</w:t>
            </w:r>
          </w:p>
          <w:p w:rsidR="00031E84" w:rsidRDefault="00031E84" w:rsidP="00031E84">
            <w:r>
              <w:t>U</w:t>
            </w:r>
            <w:r>
              <w:t>ngeeignete Löschmittel: Wasser im Vollstrahl</w:t>
            </w:r>
          </w:p>
          <w:p w:rsidR="00031E84" w:rsidRDefault="00031E84" w:rsidP="00031E84">
            <w:r>
              <w:t>Bei einem Brand kann freigesetzt werden:</w:t>
            </w:r>
            <w:r>
              <w:t xml:space="preserve"> </w:t>
            </w:r>
            <w:r>
              <w:t>Kohlenmonoxid (CO)</w:t>
            </w:r>
          </w:p>
          <w:p w:rsidR="00031E84" w:rsidRDefault="00031E84" w:rsidP="00031E84">
            <w:r>
              <w:t>Besondere Schutzausrüstung: Vollschutzanzug mit umgebungsluftunabhängigen Atemschutzgerät tragen.</w:t>
            </w:r>
          </w:p>
          <w:p w:rsidR="00F37140" w:rsidRDefault="00031E84" w:rsidP="00031E84">
            <w:r>
              <w:t>Gefährdete Behälter mit Wassersprühstrahl kühlen.</w:t>
            </w:r>
          </w:p>
          <w:p w:rsidR="00F37140" w:rsidRDefault="00F37140" w:rsidP="009A3828">
            <w:pPr>
              <w:pStyle w:val="berschrift3"/>
              <w:outlineLvl w:val="2"/>
            </w:pPr>
            <w:r>
              <w:t xml:space="preserve">Maßnahmen nach unbeabsichtigter Freisetzung </w:t>
            </w:r>
          </w:p>
          <w:p w:rsidR="00031E84" w:rsidRDefault="00031E84" w:rsidP="00031E84">
            <w:r>
              <w:t>Personenbezogene Vorsichtsmaßnahmen, Schutzausrüstungen und in Notfällen anzuwendende Verfahren Schutzausrüstung tragen. Ungeschützte Personen fernhalten.</w:t>
            </w:r>
          </w:p>
          <w:p w:rsidR="00031E84" w:rsidRDefault="00031E84" w:rsidP="00031E84">
            <w:r>
              <w:t>Umweltschutzmaßnahmen: Nicht in die Kanalisation/Oberflächenwasser/Grundwasser gelangen lassen.</w:t>
            </w:r>
          </w:p>
          <w:p w:rsidR="00031E84" w:rsidRDefault="00031E84" w:rsidP="00031E84">
            <w:r>
              <w:t>Methoden und Material für Rückhaltung und Reinigung:</w:t>
            </w:r>
            <w:r>
              <w:t xml:space="preserve"> </w:t>
            </w:r>
            <w:r>
              <w:t>Mit flüssigkeitsbindendem Material (Sand, Kieselgur, Säurebinder, Universalbinder, Sägemehl) aufnehmen. Kontaminiertes Material als Abfall entsorgen.</w:t>
            </w:r>
          </w:p>
          <w:p w:rsidR="00F37140" w:rsidRPr="0000104E" w:rsidRDefault="00031E84" w:rsidP="00C95B34">
            <w:r>
              <w:t>Für ausreichende Lüftung sorgen.</w:t>
            </w:r>
          </w:p>
        </w:tc>
        <w:tc>
          <w:tcPr>
            <w:tcW w:w="277" w:type="dxa"/>
            <w:shd w:val="clear" w:color="auto" w:fill="FF0000"/>
          </w:tcPr>
          <w:p w:rsidR="00F37140" w:rsidRPr="0000104E" w:rsidRDefault="00F37140" w:rsidP="009A3828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</w:tcPr>
          <w:p w:rsidR="0000104E" w:rsidRPr="0000104E" w:rsidRDefault="00F37140" w:rsidP="007269DC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4" name="Grafik 3" descr="E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7.gif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1F616D" w:rsidRPr="001F616D" w:rsidRDefault="001F616D" w:rsidP="001F616D">
            <w:pPr>
              <w:pStyle w:val="berschrift3"/>
              <w:outlineLvl w:val="2"/>
              <w:rPr>
                <w:color w:val="FF0000"/>
              </w:rPr>
            </w:pPr>
            <w:r w:rsidRPr="001F616D">
              <w:rPr>
                <w:color w:val="FF0000"/>
              </w:rPr>
              <w:t>Wichtige Rufnummern:</w:t>
            </w:r>
          </w:p>
          <w:p w:rsidR="001F616D" w:rsidRDefault="001F616D" w:rsidP="00924748">
            <w:pPr>
              <w:pStyle w:val="berschrift3"/>
              <w:ind w:left="2167" w:hanging="2126"/>
              <w:outlineLvl w:val="2"/>
            </w:pPr>
            <w:r>
              <w:t>Feuerwehr:</w:t>
            </w:r>
            <w:r>
              <w:tab/>
              <w:t>112</w:t>
            </w:r>
          </w:p>
          <w:p w:rsidR="001F616D" w:rsidRDefault="001F616D" w:rsidP="00924748">
            <w:pPr>
              <w:pStyle w:val="berschrift3"/>
              <w:ind w:left="2167" w:hanging="2126"/>
              <w:outlineLvl w:val="2"/>
            </w:pPr>
            <w:r>
              <w:t>Rettungsleitstelle:</w:t>
            </w:r>
            <w:r>
              <w:tab/>
              <w:t>110</w:t>
            </w:r>
          </w:p>
          <w:p w:rsidR="001F616D" w:rsidRDefault="001F616D" w:rsidP="00924748">
            <w:pPr>
              <w:pStyle w:val="berschrift3"/>
              <w:ind w:left="2167" w:hanging="2126"/>
              <w:outlineLvl w:val="2"/>
            </w:pPr>
            <w:r>
              <w:t>Arzt:</w:t>
            </w:r>
            <w:r w:rsidR="00924748">
              <w:tab/>
              <w:t>………………………….………...</w:t>
            </w:r>
          </w:p>
          <w:p w:rsidR="001F616D" w:rsidRPr="0000104E" w:rsidRDefault="001F616D" w:rsidP="00924748">
            <w:pPr>
              <w:pStyle w:val="berschrift3"/>
              <w:ind w:left="2167" w:hanging="2126"/>
              <w:outlineLvl w:val="2"/>
            </w:pPr>
            <w:r>
              <w:t>Ersthelfer:</w:t>
            </w:r>
            <w:r w:rsidR="00924748">
              <w:tab/>
              <w:t>………………………….………...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0000"/>
            <w:vAlign w:val="center"/>
          </w:tcPr>
          <w:p w:rsidR="0000104E" w:rsidRPr="0000104E" w:rsidRDefault="0000104E" w:rsidP="00083724">
            <w:pPr>
              <w:pStyle w:val="berschrift1"/>
              <w:outlineLvl w:val="0"/>
            </w:pPr>
            <w:r>
              <w:t>Erste Hilfe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2942" w:type="dxa"/>
          </w:tcPr>
          <w:p w:rsidR="0000104E" w:rsidRPr="0000104E" w:rsidRDefault="00F37140" w:rsidP="007269DC">
            <w:r>
              <w:rPr>
                <w:noProof/>
                <w:lang w:eastAsia="de-DE" w:bidi="ar-SA"/>
              </w:rPr>
              <w:drawing>
                <wp:inline distT="0" distB="0" distL="0" distR="0">
                  <wp:extent cx="828000" cy="828000"/>
                  <wp:effectExtent l="19050" t="0" r="0" b="0"/>
                  <wp:docPr id="5" name="Grafik 4" descr="E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3.gif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4659BC" w:rsidRDefault="004659BC" w:rsidP="004659BC">
            <w:pPr>
              <w:ind w:left="1458" w:hanging="1417"/>
            </w:pPr>
            <w:r>
              <w:t>Einatmen</w:t>
            </w:r>
            <w:r>
              <w:tab/>
            </w:r>
            <w:r w:rsidR="00C95B34" w:rsidRPr="00C95B34">
              <w:t>Frischluftzufuhr, bei Beschwerden Arzt aufsuchen</w:t>
            </w:r>
          </w:p>
          <w:p w:rsidR="004659BC" w:rsidRDefault="004659BC" w:rsidP="004659BC">
            <w:pPr>
              <w:ind w:left="1458" w:hanging="1417"/>
            </w:pPr>
            <w:r>
              <w:t>Augenkontakt</w:t>
            </w:r>
            <w:r>
              <w:tab/>
            </w:r>
            <w:r w:rsidR="00C95B34" w:rsidRPr="00C95B34">
              <w:t xml:space="preserve">Augen bei geöffnetem </w:t>
            </w:r>
            <w:proofErr w:type="spellStart"/>
            <w:r w:rsidR="00C95B34" w:rsidRPr="00C95B34">
              <w:t>Lidspalt</w:t>
            </w:r>
            <w:proofErr w:type="spellEnd"/>
            <w:r w:rsidR="00C95B34" w:rsidRPr="00C95B34">
              <w:t xml:space="preserve"> mehrere Minuten mit fließendem Wasser spülen</w:t>
            </w:r>
            <w:r w:rsidR="00C95B34">
              <w:t>.</w:t>
            </w:r>
          </w:p>
          <w:p w:rsidR="004659BC" w:rsidRDefault="004659BC" w:rsidP="004659BC">
            <w:pPr>
              <w:ind w:left="1458" w:hanging="1417"/>
            </w:pPr>
            <w:r>
              <w:t>Hautkontakt</w:t>
            </w:r>
            <w:r>
              <w:tab/>
            </w:r>
            <w:r w:rsidR="00C95B34" w:rsidRPr="00C95B34">
              <w:t>Sofort mit Wasser und Seife abwaschen und gut nachspülen</w:t>
            </w:r>
          </w:p>
          <w:p w:rsidR="0000104E" w:rsidRDefault="004659BC" w:rsidP="004659BC">
            <w:pPr>
              <w:ind w:left="1458" w:hanging="1417"/>
            </w:pPr>
            <w:r>
              <w:t>Verschlucken</w:t>
            </w:r>
            <w:r>
              <w:tab/>
            </w:r>
            <w:r w:rsidR="00C95B34" w:rsidRPr="00C95B34">
              <w:t>Kein Erbrechen herbeiführen, sofort Arzthilfe zu</w:t>
            </w:r>
            <w:r w:rsidR="00C95B34">
              <w:t>ziehen.</w:t>
            </w:r>
          </w:p>
          <w:p w:rsidR="00C95B34" w:rsidRPr="0000104E" w:rsidRDefault="00C95B34" w:rsidP="00C95B34">
            <w:pPr>
              <w:ind w:left="1458" w:hanging="1417"/>
            </w:pPr>
            <w:r>
              <w:t>Hinweise für den Arzt:</w:t>
            </w:r>
            <w:r>
              <w:t xml:space="preserve"> </w:t>
            </w:r>
            <w:r>
              <w:t xml:space="preserve">Verursacht Depressionen des Zentralnervensystems. Möglichkeit zur Entwicklung einer chemischen </w:t>
            </w:r>
            <w:proofErr w:type="spellStart"/>
            <w:r>
              <w:t>Pneumonitis</w:t>
            </w:r>
            <w:proofErr w:type="spellEnd"/>
            <w:r>
              <w:t>.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00104E" w:rsidRPr="0000104E" w:rsidTr="008D65FF">
        <w:tc>
          <w:tcPr>
            <w:tcW w:w="278" w:type="dxa"/>
            <w:shd w:val="clear" w:color="auto" w:fill="FF0000"/>
          </w:tcPr>
          <w:p w:rsidR="0000104E" w:rsidRPr="0000104E" w:rsidRDefault="0000104E" w:rsidP="007269DC"/>
        </w:tc>
        <w:tc>
          <w:tcPr>
            <w:tcW w:w="10218" w:type="dxa"/>
            <w:gridSpan w:val="4"/>
            <w:shd w:val="clear" w:color="auto" w:fill="FF0000"/>
            <w:vAlign w:val="center"/>
          </w:tcPr>
          <w:p w:rsidR="0000104E" w:rsidRPr="0000104E" w:rsidRDefault="0000104E" w:rsidP="00083724">
            <w:pPr>
              <w:pStyle w:val="berschrift1"/>
              <w:outlineLvl w:val="0"/>
            </w:pPr>
            <w:r>
              <w:t>Sachgerechte Entsorgung</w:t>
            </w:r>
          </w:p>
        </w:tc>
        <w:tc>
          <w:tcPr>
            <w:tcW w:w="277" w:type="dxa"/>
            <w:shd w:val="clear" w:color="auto" w:fill="FF0000"/>
          </w:tcPr>
          <w:p w:rsidR="0000104E" w:rsidRPr="0000104E" w:rsidRDefault="0000104E" w:rsidP="007269DC"/>
        </w:tc>
      </w:tr>
      <w:tr w:rsidR="00AF4634" w:rsidRPr="0000104E" w:rsidTr="008D65FF">
        <w:tc>
          <w:tcPr>
            <w:tcW w:w="278" w:type="dxa"/>
            <w:shd w:val="clear" w:color="auto" w:fill="FF0000"/>
          </w:tcPr>
          <w:p w:rsidR="00AF4634" w:rsidRPr="0000104E" w:rsidRDefault="00AF4634" w:rsidP="008D3267"/>
        </w:tc>
        <w:tc>
          <w:tcPr>
            <w:tcW w:w="2942" w:type="dxa"/>
          </w:tcPr>
          <w:p w:rsidR="00AF4634" w:rsidRPr="0000104E" w:rsidRDefault="00AF4634" w:rsidP="008D3267">
            <w:r>
              <w:rPr>
                <w:rFonts w:ascii="Arial" w:hAnsi="Arial" w:cs="Arial"/>
                <w:noProof/>
                <w:color w:val="FFFFFF"/>
                <w:lang w:eastAsia="de-DE" w:bidi="ar-SA"/>
              </w:rPr>
              <w:drawing>
                <wp:inline distT="0" distB="0" distL="0" distR="0">
                  <wp:extent cx="828000" cy="624632"/>
                  <wp:effectExtent l="19050" t="0" r="0" b="0"/>
                  <wp:docPr id="7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624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6" w:type="dxa"/>
            <w:gridSpan w:val="3"/>
          </w:tcPr>
          <w:p w:rsidR="00C95B34" w:rsidRDefault="00C95B34" w:rsidP="00C95B34">
            <w:r>
              <w:t>Entsorgung gemäß den örtlichen behördlichen Vorschriften.</w:t>
            </w:r>
            <w:r>
              <w:t xml:space="preserve"> </w:t>
            </w:r>
            <w:r>
              <w:t>Darf nicht zusammen mit Hausmüll entsorgt werden. Nicht in die Kanalisation gelangen lassen.</w:t>
            </w:r>
          </w:p>
          <w:p w:rsidR="00440666" w:rsidRPr="0000104E" w:rsidRDefault="00C95B34" w:rsidP="00C95B34">
            <w:r>
              <w:t>Ungereinigte Verpackungen:</w:t>
            </w:r>
            <w:r>
              <w:t xml:space="preserve"> </w:t>
            </w:r>
            <w:r>
              <w:t>Entsorgung gemäß den behördlichen Vorschriften.</w:t>
            </w:r>
          </w:p>
        </w:tc>
        <w:tc>
          <w:tcPr>
            <w:tcW w:w="277" w:type="dxa"/>
            <w:shd w:val="clear" w:color="auto" w:fill="FF0000"/>
          </w:tcPr>
          <w:p w:rsidR="00AF4634" w:rsidRPr="0000104E" w:rsidRDefault="00AF4634" w:rsidP="008D3267"/>
        </w:tc>
      </w:tr>
      <w:tr w:rsidR="00AF4634" w:rsidRPr="0000104E" w:rsidTr="008D65FF">
        <w:trPr>
          <w:trHeight w:hRule="exact" w:val="284"/>
        </w:trPr>
        <w:tc>
          <w:tcPr>
            <w:tcW w:w="278" w:type="dxa"/>
            <w:shd w:val="clear" w:color="auto" w:fill="FF0000"/>
          </w:tcPr>
          <w:p w:rsidR="00AF4634" w:rsidRPr="0000104E" w:rsidRDefault="00AF4634" w:rsidP="008D3267"/>
        </w:tc>
        <w:tc>
          <w:tcPr>
            <w:tcW w:w="2942" w:type="dxa"/>
            <w:shd w:val="clear" w:color="auto" w:fill="FF0000"/>
          </w:tcPr>
          <w:p w:rsidR="00AF4634" w:rsidRPr="0000104E" w:rsidRDefault="00AF4634" w:rsidP="008D3267"/>
        </w:tc>
        <w:tc>
          <w:tcPr>
            <w:tcW w:w="7276" w:type="dxa"/>
            <w:gridSpan w:val="3"/>
            <w:shd w:val="clear" w:color="auto" w:fill="FF0000"/>
          </w:tcPr>
          <w:p w:rsidR="00AF4634" w:rsidRPr="0000104E" w:rsidRDefault="00AF4634" w:rsidP="008D3267"/>
        </w:tc>
        <w:tc>
          <w:tcPr>
            <w:tcW w:w="277" w:type="dxa"/>
            <w:shd w:val="clear" w:color="auto" w:fill="FF0000"/>
          </w:tcPr>
          <w:p w:rsidR="00AF4634" w:rsidRPr="0000104E" w:rsidRDefault="00AF4634" w:rsidP="008D3267"/>
        </w:tc>
      </w:tr>
      <w:tr w:rsidR="00AF4634" w:rsidRPr="0000104E" w:rsidTr="008D65FF">
        <w:tc>
          <w:tcPr>
            <w:tcW w:w="278" w:type="dxa"/>
            <w:shd w:val="clear" w:color="auto" w:fill="FF0000"/>
          </w:tcPr>
          <w:p w:rsidR="00AF4634" w:rsidRPr="0000104E" w:rsidRDefault="00AF4634" w:rsidP="007269DC"/>
        </w:tc>
        <w:tc>
          <w:tcPr>
            <w:tcW w:w="2942" w:type="dxa"/>
            <w:vAlign w:val="bottom"/>
          </w:tcPr>
          <w:p w:rsidR="00AF4634" w:rsidRPr="0000104E" w:rsidRDefault="00AF4634" w:rsidP="00F23196">
            <w:r>
              <w:t>Stand:</w:t>
            </w:r>
            <w:r w:rsidR="00F23196">
              <w:t>03.06.2019</w:t>
            </w:r>
          </w:p>
        </w:tc>
        <w:tc>
          <w:tcPr>
            <w:tcW w:w="3638" w:type="dxa"/>
            <w:vAlign w:val="bottom"/>
          </w:tcPr>
          <w:p w:rsidR="00AF4634" w:rsidRDefault="00AF4634" w:rsidP="00F23196"/>
        </w:tc>
        <w:tc>
          <w:tcPr>
            <w:tcW w:w="3638" w:type="dxa"/>
            <w:gridSpan w:val="2"/>
            <w:vAlign w:val="bottom"/>
          </w:tcPr>
          <w:p w:rsidR="00AF4634" w:rsidRDefault="00AF4634" w:rsidP="00AF4634"/>
          <w:p w:rsidR="00AF4634" w:rsidRDefault="00AF4634" w:rsidP="00AF4634"/>
          <w:p w:rsidR="00AF4634" w:rsidRPr="00AF4634" w:rsidRDefault="00AF4634" w:rsidP="00AF4634">
            <w:pPr>
              <w:tabs>
                <w:tab w:val="left" w:pos="3207"/>
              </w:tabs>
              <w:spacing w:after="0"/>
              <w:rPr>
                <w:u w:val="single"/>
              </w:rPr>
            </w:pPr>
            <w:r w:rsidRPr="00AF4634">
              <w:rPr>
                <w:u w:val="single"/>
              </w:rPr>
              <w:tab/>
            </w:r>
          </w:p>
          <w:p w:rsidR="00AF4634" w:rsidRPr="0000104E" w:rsidRDefault="00AF4634" w:rsidP="00AF4634">
            <w:r>
              <w:t>Unterschrift</w:t>
            </w:r>
          </w:p>
        </w:tc>
        <w:tc>
          <w:tcPr>
            <w:tcW w:w="277" w:type="dxa"/>
            <w:shd w:val="clear" w:color="auto" w:fill="FF0000"/>
          </w:tcPr>
          <w:p w:rsidR="00AF4634" w:rsidRPr="0000104E" w:rsidRDefault="00AF4634" w:rsidP="007269DC"/>
        </w:tc>
      </w:tr>
      <w:tr w:rsidR="002F6726" w:rsidRPr="0000104E" w:rsidTr="008D65FF">
        <w:trPr>
          <w:trHeight w:hRule="exact" w:val="284"/>
        </w:trPr>
        <w:tc>
          <w:tcPr>
            <w:tcW w:w="278" w:type="dxa"/>
            <w:shd w:val="clear" w:color="auto" w:fill="FF0000"/>
          </w:tcPr>
          <w:p w:rsidR="002F6726" w:rsidRPr="0000104E" w:rsidRDefault="002F6726" w:rsidP="007269DC"/>
        </w:tc>
        <w:tc>
          <w:tcPr>
            <w:tcW w:w="2942" w:type="dxa"/>
            <w:shd w:val="clear" w:color="auto" w:fill="FF0000"/>
          </w:tcPr>
          <w:p w:rsidR="002F6726" w:rsidRPr="0000104E" w:rsidRDefault="002F6726" w:rsidP="007269DC"/>
        </w:tc>
        <w:tc>
          <w:tcPr>
            <w:tcW w:w="7276" w:type="dxa"/>
            <w:gridSpan w:val="3"/>
            <w:shd w:val="clear" w:color="auto" w:fill="FF0000"/>
          </w:tcPr>
          <w:p w:rsidR="002F6726" w:rsidRPr="0000104E" w:rsidRDefault="002F6726" w:rsidP="007269DC"/>
        </w:tc>
        <w:tc>
          <w:tcPr>
            <w:tcW w:w="277" w:type="dxa"/>
            <w:shd w:val="clear" w:color="auto" w:fill="FF0000"/>
          </w:tcPr>
          <w:p w:rsidR="002F6726" w:rsidRPr="0000104E" w:rsidRDefault="002F6726" w:rsidP="007269DC"/>
        </w:tc>
      </w:tr>
    </w:tbl>
    <w:p w:rsidR="00AF5BEE" w:rsidRPr="00440666" w:rsidRDefault="00AF5BEE" w:rsidP="007269DC">
      <w:pPr>
        <w:rPr>
          <w:sz w:val="6"/>
          <w:szCs w:val="6"/>
        </w:rPr>
      </w:pPr>
    </w:p>
    <w:sectPr w:rsidR="00AF5BEE" w:rsidRPr="00440666" w:rsidSect="002F67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80"/>
    <w:rsid w:val="0000104E"/>
    <w:rsid w:val="00007AF7"/>
    <w:rsid w:val="00031E84"/>
    <w:rsid w:val="000502EC"/>
    <w:rsid w:val="00083724"/>
    <w:rsid w:val="001A139B"/>
    <w:rsid w:val="001F616D"/>
    <w:rsid w:val="00213A6F"/>
    <w:rsid w:val="002844DE"/>
    <w:rsid w:val="002B0070"/>
    <w:rsid w:val="002F6726"/>
    <w:rsid w:val="003327F3"/>
    <w:rsid w:val="00395F07"/>
    <w:rsid w:val="003A61F6"/>
    <w:rsid w:val="00407340"/>
    <w:rsid w:val="0043080D"/>
    <w:rsid w:val="00440666"/>
    <w:rsid w:val="004659BC"/>
    <w:rsid w:val="00555B2D"/>
    <w:rsid w:val="005B77B7"/>
    <w:rsid w:val="005C7668"/>
    <w:rsid w:val="00702844"/>
    <w:rsid w:val="00724D97"/>
    <w:rsid w:val="007269DC"/>
    <w:rsid w:val="007637E4"/>
    <w:rsid w:val="00774D55"/>
    <w:rsid w:val="007D598A"/>
    <w:rsid w:val="008027F0"/>
    <w:rsid w:val="008272FE"/>
    <w:rsid w:val="00853C16"/>
    <w:rsid w:val="00873122"/>
    <w:rsid w:val="008D3267"/>
    <w:rsid w:val="008D65FF"/>
    <w:rsid w:val="009156CC"/>
    <w:rsid w:val="00924748"/>
    <w:rsid w:val="00932E38"/>
    <w:rsid w:val="0099076B"/>
    <w:rsid w:val="009A3828"/>
    <w:rsid w:val="009C2A0B"/>
    <w:rsid w:val="009F35D9"/>
    <w:rsid w:val="00A2235A"/>
    <w:rsid w:val="00A469EA"/>
    <w:rsid w:val="00A73554"/>
    <w:rsid w:val="00AF4634"/>
    <w:rsid w:val="00AF5BEE"/>
    <w:rsid w:val="00BE710F"/>
    <w:rsid w:val="00C830C2"/>
    <w:rsid w:val="00C95B34"/>
    <w:rsid w:val="00CE0D58"/>
    <w:rsid w:val="00D91C1A"/>
    <w:rsid w:val="00EA1156"/>
    <w:rsid w:val="00ED0880"/>
    <w:rsid w:val="00EE37C1"/>
    <w:rsid w:val="00EF45FE"/>
    <w:rsid w:val="00F23196"/>
    <w:rsid w:val="00F37140"/>
    <w:rsid w:val="00FA79BD"/>
    <w:rsid w:val="00FD5484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276A"/>
  <w15:docId w15:val="{DA66E477-1AED-4FB4-B98A-B3D6B85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5484"/>
    <w:pPr>
      <w:spacing w:before="0" w:after="120" w:line="240" w:lineRule="auto"/>
    </w:pPr>
    <w:rPr>
      <w:sz w:val="20"/>
      <w:szCs w:val="20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65FF"/>
    <w:pPr>
      <w:pBdr>
        <w:top w:val="single" w:sz="24" w:space="0" w:color="FF0000"/>
        <w:left w:val="single" w:sz="24" w:space="0" w:color="FF0000"/>
        <w:bottom w:val="single" w:sz="24" w:space="0" w:color="FF0000"/>
        <w:right w:val="single" w:sz="24" w:space="0" w:color="FF0000"/>
      </w:pBdr>
      <w:shd w:val="clear" w:color="auto" w:fill="FF0000"/>
      <w:spacing w:after="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2FE"/>
    <w:pPr>
      <w:spacing w:after="0"/>
      <w:outlineLvl w:val="1"/>
    </w:pPr>
    <w:rPr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269DC"/>
    <w:pPr>
      <w:spacing w:before="120" w:after="0"/>
      <w:outlineLvl w:val="2"/>
    </w:pPr>
    <w:rPr>
      <w:b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672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672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672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672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672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672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F6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0104E"/>
    <w:pPr>
      <w:spacing w:before="1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0104E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65FF"/>
    <w:rPr>
      <w:b/>
      <w:bCs/>
      <w:caps/>
      <w:color w:val="FFFFFF" w:themeColor="background1"/>
      <w:spacing w:val="15"/>
      <w:shd w:val="clear" w:color="auto" w:fill="FF000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2FE"/>
    <w:rPr>
      <w:caps/>
      <w:spacing w:val="15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69DC"/>
    <w:rPr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6726"/>
    <w:rPr>
      <w:caps/>
      <w:color w:val="365F9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6726"/>
    <w:rPr>
      <w:caps/>
      <w:color w:val="365F9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6726"/>
    <w:rPr>
      <w:caps/>
      <w:color w:val="365F9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6726"/>
    <w:rPr>
      <w:caps/>
      <w:color w:val="365F9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6726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6726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F6726"/>
    <w:rPr>
      <w:b/>
      <w:bCs/>
      <w:color w:val="365F91" w:themeColor="accent1" w:themeShade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104E"/>
    <w:pPr>
      <w:spacing w:before="120" w:after="24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104E"/>
    <w:rPr>
      <w:caps/>
      <w:color w:val="595959" w:themeColor="text1" w:themeTint="A6"/>
      <w:spacing w:val="10"/>
      <w:sz w:val="24"/>
      <w:szCs w:val="24"/>
    </w:rPr>
  </w:style>
  <w:style w:type="character" w:styleId="Fett">
    <w:name w:val="Strong"/>
    <w:uiPriority w:val="22"/>
    <w:qFormat/>
    <w:rsid w:val="002F6726"/>
    <w:rPr>
      <w:b/>
      <w:bCs/>
    </w:rPr>
  </w:style>
  <w:style w:type="character" w:styleId="Hervorhebung">
    <w:name w:val="Emphasis"/>
    <w:uiPriority w:val="20"/>
    <w:qFormat/>
    <w:rsid w:val="002F6726"/>
    <w:rPr>
      <w:caps/>
      <w:color w:val="243F60" w:themeColor="accent1" w:themeShade="7F"/>
      <w:spacing w:val="5"/>
    </w:rPr>
  </w:style>
  <w:style w:type="paragraph" w:styleId="KeinLeerraum">
    <w:name w:val="No Spacing"/>
    <w:basedOn w:val="Standard"/>
    <w:link w:val="KeinLeerraumZchn"/>
    <w:uiPriority w:val="1"/>
    <w:qFormat/>
    <w:rsid w:val="002F6726"/>
    <w:pPr>
      <w:spacing w:after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2F6726"/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2F672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2F672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2F6726"/>
    <w:rPr>
      <w:i/>
      <w:i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672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6726"/>
    <w:rPr>
      <w:i/>
      <w:iCs/>
      <w:color w:val="4F81BD" w:themeColor="accent1"/>
      <w:sz w:val="20"/>
      <w:szCs w:val="20"/>
    </w:rPr>
  </w:style>
  <w:style w:type="character" w:styleId="SchwacheHervorhebung">
    <w:name w:val="Subtle Emphasis"/>
    <w:uiPriority w:val="19"/>
    <w:qFormat/>
    <w:rsid w:val="002F6726"/>
    <w:rPr>
      <w:i/>
      <w:iCs/>
      <w:color w:val="243F60" w:themeColor="accent1" w:themeShade="7F"/>
    </w:rPr>
  </w:style>
  <w:style w:type="character" w:styleId="IntensiveHervorhebung">
    <w:name w:val="Intense Emphasis"/>
    <w:uiPriority w:val="21"/>
    <w:qFormat/>
    <w:rsid w:val="002F6726"/>
    <w:rPr>
      <w:b/>
      <w:bCs/>
      <w:caps/>
      <w:color w:val="243F60" w:themeColor="accent1" w:themeShade="7F"/>
      <w:spacing w:val="10"/>
    </w:rPr>
  </w:style>
  <w:style w:type="character" w:styleId="SchwacherVerweis">
    <w:name w:val="Subtle Reference"/>
    <w:uiPriority w:val="31"/>
    <w:qFormat/>
    <w:rsid w:val="002F6726"/>
    <w:rPr>
      <w:b/>
      <w:bCs/>
      <w:color w:val="4F81BD" w:themeColor="accent1"/>
    </w:rPr>
  </w:style>
  <w:style w:type="character" w:styleId="IntensiverVerweis">
    <w:name w:val="Intense Reference"/>
    <w:uiPriority w:val="32"/>
    <w:qFormat/>
    <w:rsid w:val="002F6726"/>
    <w:rPr>
      <w:b/>
      <w:bCs/>
      <w:i/>
      <w:iCs/>
      <w:caps/>
      <w:color w:val="4F81BD" w:themeColor="accent1"/>
    </w:rPr>
  </w:style>
  <w:style w:type="character" w:styleId="Buchtitel">
    <w:name w:val="Book Title"/>
    <w:uiPriority w:val="33"/>
    <w:qFormat/>
    <w:rsid w:val="002F6726"/>
    <w:rPr>
      <w:b/>
      <w:bCs/>
      <w:i/>
      <w:iCs/>
      <w:spacing w:val="9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F672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766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76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3554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Mawi10</dc:creator>
  <cp:lastModifiedBy>Windows-Benutzer</cp:lastModifiedBy>
  <cp:revision>7</cp:revision>
  <dcterms:created xsi:type="dcterms:W3CDTF">2019-06-03T12:39:00Z</dcterms:created>
  <dcterms:modified xsi:type="dcterms:W3CDTF">2019-06-03T13:28:00Z</dcterms:modified>
</cp:coreProperties>
</file>