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8"/>
        <w:gridCol w:w="2942"/>
        <w:gridCol w:w="3638"/>
        <w:gridCol w:w="1444"/>
        <w:gridCol w:w="2194"/>
        <w:gridCol w:w="277"/>
      </w:tblGrid>
      <w:tr w:rsidR="002F6726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  <w:shd w:val="clear" w:color="auto" w:fill="FF0000"/>
          </w:tcPr>
          <w:p w:rsidR="002F6726" w:rsidRPr="0000104E" w:rsidRDefault="002F6726" w:rsidP="007269DC"/>
        </w:tc>
        <w:tc>
          <w:tcPr>
            <w:tcW w:w="7276" w:type="dxa"/>
            <w:gridSpan w:val="3"/>
            <w:shd w:val="clear" w:color="auto" w:fill="FF0000"/>
          </w:tcPr>
          <w:p w:rsidR="002F6726" w:rsidRPr="0000104E" w:rsidRDefault="002F6726" w:rsidP="007269DC"/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</w:tcPr>
          <w:p w:rsidR="0000104E" w:rsidRPr="0000104E" w:rsidRDefault="0000104E" w:rsidP="007269DC">
            <w:r w:rsidRPr="0000104E">
              <w:t xml:space="preserve">Fachgroßhandel </w:t>
            </w:r>
            <w:r w:rsidR="007269DC">
              <w:br/>
            </w:r>
            <w:r w:rsidRPr="0000104E">
              <w:t>Hans Reinhold &amp; Sohn</w:t>
            </w:r>
          </w:p>
        </w:tc>
        <w:tc>
          <w:tcPr>
            <w:tcW w:w="5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E" w:rsidRPr="0000104E" w:rsidRDefault="0000104E" w:rsidP="007269DC">
            <w:pPr>
              <w:pStyle w:val="Titel"/>
            </w:pPr>
            <w:r w:rsidRPr="0000104E">
              <w:t>Betriebsanweisung</w:t>
            </w:r>
          </w:p>
          <w:p w:rsidR="0000104E" w:rsidRPr="0000104E" w:rsidRDefault="0000104E" w:rsidP="007269DC">
            <w:pPr>
              <w:pStyle w:val="Untertitel"/>
            </w:pPr>
            <w:r w:rsidRPr="0000104E">
              <w:t>gem. § 14 GefStoffV</w:t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</w:tcBorders>
          </w:tcPr>
          <w:p w:rsidR="0000104E" w:rsidRDefault="0000104E" w:rsidP="007269DC">
            <w:r>
              <w:t xml:space="preserve">Datum: </w:t>
            </w:r>
          </w:p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p w:rsidR="00407340" w:rsidRDefault="00407340">
                <w:r>
                  <w:t xml:space="preserve">Seite </w:t>
                </w:r>
                <w:r w:rsidR="007B15BD">
                  <w:fldChar w:fldCharType="begin"/>
                </w:r>
                <w:r w:rsidR="007B15BD">
                  <w:instrText xml:space="preserve"> PAGE </w:instrText>
                </w:r>
                <w:r w:rsidR="007B15BD">
                  <w:fldChar w:fldCharType="separate"/>
                </w:r>
                <w:r w:rsidR="007B15BD">
                  <w:rPr>
                    <w:noProof/>
                  </w:rPr>
                  <w:t>1</w:t>
                </w:r>
                <w:r w:rsidR="007B15BD">
                  <w:rPr>
                    <w:noProof/>
                  </w:rPr>
                  <w:fldChar w:fldCharType="end"/>
                </w:r>
                <w:r>
                  <w:t xml:space="preserve"> von </w:t>
                </w:r>
                <w:r w:rsidR="007B15BD">
                  <w:fldChar w:fldCharType="begin"/>
                </w:r>
                <w:r w:rsidR="007B15BD">
                  <w:instrText xml:space="preserve"> NUMPAGES  </w:instrText>
                </w:r>
                <w:r w:rsidR="007B15BD">
                  <w:fldChar w:fldCharType="separate"/>
                </w:r>
                <w:r w:rsidR="007B15BD">
                  <w:rPr>
                    <w:noProof/>
                  </w:rPr>
                  <w:t>2</w:t>
                </w:r>
                <w:r w:rsidR="007B15BD">
                  <w:rPr>
                    <w:noProof/>
                  </w:rPr>
                  <w:fldChar w:fldCharType="end"/>
                </w:r>
              </w:p>
            </w:sdtContent>
          </w:sdt>
          <w:p w:rsidR="00407340" w:rsidRPr="0000104E" w:rsidRDefault="00407340" w:rsidP="007269DC"/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7269DC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</w:tcPr>
          <w:p w:rsidR="0000104E" w:rsidRPr="0000104E" w:rsidRDefault="0000104E" w:rsidP="007269DC">
            <w:r w:rsidRPr="0000104E">
              <w:t>Arbeitsbereich</w:t>
            </w:r>
            <w:r>
              <w:t xml:space="preserve">: 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04E" w:rsidRPr="0000104E" w:rsidRDefault="0000104E" w:rsidP="007269DC">
            <w:r>
              <w:t>Arbeitsplatz/Tätigkeit: Umgang mit Reinigungsmitteln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FD5484">
            <w:pPr>
              <w:pStyle w:val="berschrift1"/>
              <w:outlineLvl w:val="0"/>
            </w:pPr>
          </w:p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FD5484" w:rsidRDefault="0000104E" w:rsidP="00FD5484">
            <w:pPr>
              <w:pStyle w:val="berschrift1"/>
              <w:outlineLvl w:val="0"/>
            </w:pPr>
            <w:r>
              <w:t>Gefahrstoffbezeichnung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FD5484">
            <w:pPr>
              <w:pStyle w:val="berschrift1"/>
              <w:outlineLvl w:val="0"/>
            </w:pPr>
          </w:p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</w:tcPr>
          <w:p w:rsidR="002F6726" w:rsidRPr="0000104E" w:rsidRDefault="002F6726" w:rsidP="007269DC"/>
        </w:tc>
        <w:tc>
          <w:tcPr>
            <w:tcW w:w="7276" w:type="dxa"/>
            <w:gridSpan w:val="3"/>
            <w:vAlign w:val="center"/>
          </w:tcPr>
          <w:p w:rsidR="002F6726" w:rsidRPr="0000104E" w:rsidRDefault="007269DC" w:rsidP="003F56CE">
            <w:pPr>
              <w:pStyle w:val="berschrift2"/>
              <w:outlineLvl w:val="1"/>
            </w:pPr>
            <w:r w:rsidRPr="007269DC">
              <w:t>Erster Erzgebirgischer</w:t>
            </w:r>
            <w:r w:rsidR="00FA79BD">
              <w:t xml:space="preserve"> </w:t>
            </w:r>
            <w:r w:rsidR="003F56CE">
              <w:t>Badreiniger farblos</w:t>
            </w:r>
          </w:p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00104E" w:rsidRDefault="0000104E" w:rsidP="00FD5484">
            <w:pPr>
              <w:pStyle w:val="berschrift1"/>
              <w:outlineLvl w:val="0"/>
            </w:pPr>
            <w:r>
              <w:t>Gefahren für Mensch und Umwelt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8272FE" w:rsidP="007269DC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6851"/>
                  <wp:effectExtent l="0" t="0" r="0" b="0"/>
                  <wp:docPr id="2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6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00104E" w:rsidRDefault="007269DC" w:rsidP="007269DC">
            <w:pPr>
              <w:pStyle w:val="berschrift3"/>
              <w:outlineLvl w:val="2"/>
            </w:pPr>
            <w:r w:rsidRPr="007269DC">
              <w:t>Gefahren für Mensch</w:t>
            </w:r>
          </w:p>
          <w:p w:rsidR="007269DC" w:rsidRDefault="003F56CE" w:rsidP="007269DC">
            <w:r w:rsidRPr="003F56CE">
              <w:t>Verursacht schwere Augenreizung.</w:t>
            </w:r>
          </w:p>
          <w:p w:rsidR="007269DC" w:rsidRDefault="007269DC" w:rsidP="007269DC">
            <w:pPr>
              <w:pStyle w:val="berschrift3"/>
              <w:outlineLvl w:val="2"/>
            </w:pPr>
            <w:r w:rsidRPr="007269DC">
              <w:t>Gefahren für Umwelt</w:t>
            </w:r>
          </w:p>
          <w:p w:rsidR="007269DC" w:rsidRDefault="003F56CE" w:rsidP="007269DC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Wassergefährdungsklasse: 1 - schwach wassergefährdend</w:t>
            </w:r>
          </w:p>
          <w:p w:rsidR="007B15BD" w:rsidRDefault="007B15BD" w:rsidP="007269DC">
            <w:pPr>
              <w:rPr>
                <w:rFonts w:ascii="Arial" w:hAnsi="Arial" w:cs="Arial"/>
                <w:lang w:bidi="ar-SA"/>
              </w:rPr>
            </w:pPr>
          </w:p>
          <w:p w:rsidR="007B15BD" w:rsidRPr="007269DC" w:rsidRDefault="007B15BD" w:rsidP="007269DC"/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Schutzmaßnahmen und Verhaltensregeln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9F35D9" w:rsidP="003F56CE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36809" cy="828000"/>
                  <wp:effectExtent l="19050" t="0" r="1391" b="0"/>
                  <wp:docPr id="24" name="Grafik 23" descr="m01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1-4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09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4D55">
              <w:br/>
            </w:r>
            <w:r w:rsidR="003A61F6">
              <w:br/>
            </w:r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19284"/>
                  <wp:effectExtent l="19050" t="0" r="0" b="0"/>
                  <wp:docPr id="25" name="Grafik 24" descr="m06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6-4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1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4D55">
              <w:br/>
            </w:r>
            <w:r w:rsidR="003A61F6">
              <w:br/>
            </w:r>
            <w:r w:rsidR="003A61F6"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1" name="Grafik 25" descr="p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9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9C2A0B" w:rsidRDefault="009C2A0B" w:rsidP="00724D97">
            <w:pPr>
              <w:pStyle w:val="berschrift3"/>
              <w:outlineLvl w:val="2"/>
            </w:pPr>
            <w:r>
              <w:t>Technische Schutzmaßnahmen und Verhaltensregeln</w:t>
            </w:r>
          </w:p>
          <w:p w:rsidR="009C2A0B" w:rsidRDefault="009C2A0B" w:rsidP="00724D97">
            <w:pPr>
              <w:ind w:left="1458" w:hanging="1417"/>
            </w:pPr>
            <w:r>
              <w:t>Arbeitsstä</w:t>
            </w:r>
            <w:r w:rsidR="00724D97">
              <w:t>tte:</w:t>
            </w:r>
            <w:r w:rsidR="00724D97">
              <w:tab/>
            </w:r>
            <w:r w:rsidR="001373FF" w:rsidRPr="001373FF">
              <w:t>Berührung mit den Augen und der Haut vermeiden.</w:t>
            </w:r>
          </w:p>
          <w:p w:rsidR="009C2A0B" w:rsidRDefault="009C2A0B" w:rsidP="00724D97">
            <w:pPr>
              <w:ind w:left="1458" w:hanging="1417"/>
            </w:pPr>
            <w:r>
              <w:t xml:space="preserve">Ab-/Umfüllen: </w:t>
            </w:r>
            <w:r>
              <w:tab/>
            </w:r>
            <w:r w:rsidR="001373FF" w:rsidRPr="001373FF">
              <w:t>Es sind keine besonderen Handhabungshinweise erforderlich.</w:t>
            </w:r>
          </w:p>
          <w:p w:rsidR="009C2A0B" w:rsidRDefault="009C2A0B" w:rsidP="00724D97">
            <w:pPr>
              <w:ind w:left="1458" w:hanging="1417"/>
            </w:pPr>
            <w:r>
              <w:t>Transport</w:t>
            </w:r>
            <w:r w:rsidR="00724D97">
              <w:t>:</w:t>
            </w:r>
            <w:r w:rsidR="00724D97">
              <w:tab/>
            </w:r>
            <w:r>
              <w:t xml:space="preserve">Gefäße geschlossen halten. </w:t>
            </w:r>
          </w:p>
          <w:p w:rsidR="0000104E" w:rsidRDefault="009C2A0B" w:rsidP="001373FF">
            <w:pPr>
              <w:ind w:left="1458" w:hanging="1417"/>
            </w:pPr>
            <w:r>
              <w:t>Lagerung</w:t>
            </w:r>
            <w:r w:rsidR="00724D97">
              <w:tab/>
            </w:r>
            <w:r w:rsidR="001373FF">
              <w:t>Nur im Originalbehälter aufbewahren/lagern. Nicht Zusammen mit Lebensmittel lagern. Lagerklasse nach TRGS 510: 12</w:t>
            </w:r>
          </w:p>
          <w:p w:rsidR="00724D97" w:rsidRDefault="00724D97" w:rsidP="00724D97">
            <w:pPr>
              <w:pStyle w:val="berschrift3"/>
              <w:outlineLvl w:val="2"/>
            </w:pPr>
            <w:r>
              <w:t>Persönliche Schutzmaßnahmen und Verhaltensregeln</w:t>
            </w:r>
          </w:p>
          <w:p w:rsidR="00724D97" w:rsidRDefault="00724D97" w:rsidP="001373FF">
            <w:pPr>
              <w:ind w:left="1458" w:hanging="1417"/>
            </w:pPr>
            <w:r>
              <w:t>Hautschutz:</w:t>
            </w:r>
            <w:r>
              <w:tab/>
            </w:r>
            <w:r w:rsidR="001373FF">
              <w:t>Körperschutz: nicht erforderlich.</w:t>
            </w:r>
          </w:p>
          <w:p w:rsidR="001373FF" w:rsidRDefault="00724D97" w:rsidP="001373FF">
            <w:pPr>
              <w:ind w:left="1458" w:hanging="1417"/>
            </w:pPr>
            <w:r>
              <w:t>Handschutz:</w:t>
            </w:r>
            <w:r>
              <w:tab/>
            </w:r>
            <w:r w:rsidR="001373FF">
              <w:t>Handschutz: nicht erforderlich.</w:t>
            </w:r>
          </w:p>
          <w:p w:rsidR="00724D97" w:rsidRDefault="00724D97" w:rsidP="00724D97">
            <w:pPr>
              <w:ind w:left="1458" w:hanging="1417"/>
            </w:pPr>
            <w:r>
              <w:t>Atemschutz:</w:t>
            </w:r>
            <w:r>
              <w:tab/>
              <w:t>Im Normalfall nicht erforderlich</w:t>
            </w:r>
          </w:p>
          <w:p w:rsidR="001373FF" w:rsidRDefault="001373FF" w:rsidP="00724D97">
            <w:pPr>
              <w:ind w:left="1458" w:hanging="1417"/>
            </w:pPr>
            <w:r>
              <w:t>Augenschutz:</w:t>
            </w:r>
            <w:r>
              <w:tab/>
            </w:r>
            <w:r w:rsidRPr="001373FF">
              <w:t>Bei sachgemäßer Verwendung nicht erforderlich</w:t>
            </w:r>
          </w:p>
          <w:p w:rsidR="00724D97" w:rsidRDefault="00724D97" w:rsidP="00724D97">
            <w:pPr>
              <w:pStyle w:val="berschrift3"/>
              <w:outlineLvl w:val="2"/>
            </w:pPr>
            <w:r>
              <w:t>Hygienische Schutzmaßnahmen und Verhaltensregeln</w:t>
            </w:r>
          </w:p>
          <w:p w:rsidR="00724D97" w:rsidRDefault="00724D97" w:rsidP="00007AF7">
            <w:pPr>
              <w:ind w:left="41"/>
            </w:pPr>
            <w:r>
              <w:t xml:space="preserve">Während des Umgangs mit dem Produkt keine Nahrungs- und </w:t>
            </w:r>
            <w:r w:rsidR="00007AF7">
              <w:t>Genussmittel</w:t>
            </w:r>
            <w:r>
              <w:t xml:space="preserve"> zu sich nehmen. Keine Nahrungsmittel und Getränke im Arbeits- und Lagerraum aufbewahren. Nach Beendigung der Arbeit und vor den Pausen Hände reinigen und pflegen.</w:t>
            </w:r>
          </w:p>
          <w:p w:rsidR="00FD5484" w:rsidRDefault="00FD5484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Default="007B15BD" w:rsidP="00007AF7">
            <w:pPr>
              <w:ind w:left="41"/>
            </w:pPr>
          </w:p>
          <w:p w:rsidR="007B15BD" w:rsidRPr="0000104E" w:rsidRDefault="007B15BD" w:rsidP="00007AF7">
            <w:pPr>
              <w:ind w:left="41"/>
            </w:pP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395F07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395F07" w:rsidRPr="0000104E" w:rsidRDefault="00395F07" w:rsidP="009A3828"/>
        </w:tc>
        <w:tc>
          <w:tcPr>
            <w:tcW w:w="2942" w:type="dxa"/>
            <w:shd w:val="clear" w:color="auto" w:fill="FF0000"/>
          </w:tcPr>
          <w:p w:rsidR="00395F07" w:rsidRPr="0000104E" w:rsidRDefault="00395F07" w:rsidP="009A3828"/>
        </w:tc>
        <w:tc>
          <w:tcPr>
            <w:tcW w:w="7276" w:type="dxa"/>
            <w:gridSpan w:val="3"/>
            <w:shd w:val="clear" w:color="auto" w:fill="FF0000"/>
          </w:tcPr>
          <w:p w:rsidR="00395F07" w:rsidRPr="0000104E" w:rsidRDefault="00395F07" w:rsidP="009A3828"/>
        </w:tc>
        <w:tc>
          <w:tcPr>
            <w:tcW w:w="277" w:type="dxa"/>
            <w:shd w:val="clear" w:color="auto" w:fill="FF0000"/>
          </w:tcPr>
          <w:p w:rsidR="00395F07" w:rsidRPr="0000104E" w:rsidRDefault="00395F07" w:rsidP="009A3828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Verhalten im Gefahrfall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F37140" w:rsidRPr="0000104E" w:rsidTr="008D65FF">
        <w:tc>
          <w:tcPr>
            <w:tcW w:w="278" w:type="dxa"/>
            <w:shd w:val="clear" w:color="auto" w:fill="FF0000"/>
          </w:tcPr>
          <w:p w:rsidR="00F37140" w:rsidRPr="0000104E" w:rsidRDefault="00F37140" w:rsidP="009A3828"/>
        </w:tc>
        <w:tc>
          <w:tcPr>
            <w:tcW w:w="2942" w:type="dxa"/>
          </w:tcPr>
          <w:p w:rsidR="00F37140" w:rsidRPr="0000104E" w:rsidRDefault="00F37140" w:rsidP="009A3828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3" name="Grafik 1" descr="F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05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F37140" w:rsidRDefault="00F37140" w:rsidP="009A3828">
            <w:pPr>
              <w:pStyle w:val="berschrift3"/>
              <w:outlineLvl w:val="2"/>
            </w:pPr>
            <w:r>
              <w:t>Maßnahmen zur Brandbekämpfung</w:t>
            </w:r>
          </w:p>
          <w:p w:rsidR="00F37140" w:rsidRDefault="00F37140" w:rsidP="009A3828">
            <w:r>
              <w:t>Produkt selbst brennt nicht. Löschmaßnahmen auf Umgebung abstimmen.</w:t>
            </w:r>
          </w:p>
          <w:p w:rsidR="00F37140" w:rsidRDefault="00F37140" w:rsidP="009A3828">
            <w:pPr>
              <w:pStyle w:val="berschrift3"/>
              <w:outlineLvl w:val="2"/>
            </w:pPr>
            <w:r>
              <w:t xml:space="preserve">Maßnahmen nach unbeabsichtigter Freisetzung </w:t>
            </w:r>
          </w:p>
          <w:p w:rsidR="00F37140" w:rsidRPr="0000104E" w:rsidRDefault="00F37140" w:rsidP="003217FE">
            <w:r>
              <w:t>Produkt mit saugfähigem, nicht brennbaren Material aufnehmen.</w:t>
            </w:r>
          </w:p>
        </w:tc>
        <w:tc>
          <w:tcPr>
            <w:tcW w:w="277" w:type="dxa"/>
            <w:shd w:val="clear" w:color="auto" w:fill="FF0000"/>
          </w:tcPr>
          <w:p w:rsidR="00F37140" w:rsidRPr="0000104E" w:rsidRDefault="00F37140" w:rsidP="009A3828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F37140" w:rsidP="007269DC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4" name="Grafik 3" descr="E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7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1F616D" w:rsidRPr="001F616D" w:rsidRDefault="001F616D" w:rsidP="001F616D">
            <w:pPr>
              <w:pStyle w:val="berschrift3"/>
              <w:outlineLvl w:val="2"/>
              <w:rPr>
                <w:color w:val="FF0000"/>
              </w:rPr>
            </w:pPr>
            <w:r w:rsidRPr="001F616D">
              <w:rPr>
                <w:color w:val="FF0000"/>
              </w:rPr>
              <w:t>Wichtige Rufnummern: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Feuerwehr:</w:t>
            </w:r>
            <w:r>
              <w:tab/>
              <w:t>112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Rettungsleitstelle:</w:t>
            </w:r>
            <w:r>
              <w:tab/>
              <w:t>110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Arzt:</w:t>
            </w:r>
            <w:r w:rsidR="00924748">
              <w:tab/>
              <w:t>………………………….………...</w:t>
            </w:r>
          </w:p>
          <w:p w:rsidR="001F616D" w:rsidRPr="0000104E" w:rsidRDefault="001F616D" w:rsidP="00924748">
            <w:pPr>
              <w:pStyle w:val="berschrift3"/>
              <w:ind w:left="2167" w:hanging="2126"/>
              <w:outlineLvl w:val="2"/>
            </w:pPr>
            <w:r>
              <w:t>Ersthelfer:</w:t>
            </w:r>
            <w:r w:rsidR="00924748">
              <w:tab/>
              <w:t>………………………….………...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Erste Hilfe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F37140" w:rsidP="007269DC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5" name="Grafik 4" descr="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3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7637E4" w:rsidRDefault="009156CC" w:rsidP="009156CC">
            <w:pPr>
              <w:ind w:left="1458" w:hanging="1417"/>
            </w:pPr>
            <w:r>
              <w:t>Haut:</w:t>
            </w:r>
            <w:r>
              <w:tab/>
            </w:r>
            <w:r w:rsidR="003217FE" w:rsidRPr="003217FE">
              <w:t>Bei Berührung mit der Haut sofort abwaschen</w:t>
            </w:r>
            <w:r w:rsidR="003217FE">
              <w:t>,</w:t>
            </w:r>
            <w:r w:rsidR="003217FE" w:rsidRPr="003217FE">
              <w:t xml:space="preserve"> mit viel Wasser und Seife.</w:t>
            </w:r>
          </w:p>
          <w:p w:rsidR="007637E4" w:rsidRDefault="009156CC" w:rsidP="003217FE">
            <w:pPr>
              <w:ind w:left="1458" w:hanging="1417"/>
            </w:pPr>
            <w:r>
              <w:t>Auge:</w:t>
            </w:r>
            <w:r>
              <w:tab/>
            </w:r>
            <w:r w:rsidR="003217FE">
              <w:t xml:space="preserve">Falls das Produkt in die Augen gelangt, sofort bei geöffnetem </w:t>
            </w:r>
            <w:proofErr w:type="spellStart"/>
            <w:r w:rsidR="003217FE">
              <w:t>Lidspalt</w:t>
            </w:r>
            <w:proofErr w:type="spellEnd"/>
            <w:r w:rsidR="003217FE">
              <w:t xml:space="preserve"> mit viel Wasser mindestens 15 Minuten spülen. Bei anhaltender Augenreizung: Augenarzt aufsuchen.</w:t>
            </w:r>
          </w:p>
          <w:p w:rsidR="007637E4" w:rsidRDefault="009156CC" w:rsidP="003217FE">
            <w:pPr>
              <w:ind w:left="1458" w:hanging="1417"/>
            </w:pPr>
            <w:r>
              <w:t>Verschlucken:</w:t>
            </w:r>
            <w:r>
              <w:tab/>
            </w:r>
            <w:r w:rsidR="003217FE">
              <w:t>Kein Erbrechen herbeiführen. Mund gründlich mit Wasser ausspülen.</w:t>
            </w:r>
            <w:r w:rsidR="004366B7">
              <w:t xml:space="preserve"> </w:t>
            </w:r>
            <w:bookmarkStart w:id="0" w:name="_GoBack"/>
            <w:bookmarkEnd w:id="0"/>
            <w:r w:rsidR="003217FE">
              <w:t>Reichlich Wasser in kleinen Schlucken trinken lassen (Verdünnungseffekt). Sofort Arzt hinzuziehen.</w:t>
            </w:r>
          </w:p>
          <w:p w:rsidR="0000104E" w:rsidRPr="0000104E" w:rsidRDefault="009156CC" w:rsidP="009156CC">
            <w:pPr>
              <w:ind w:left="1458" w:hanging="1417"/>
            </w:pPr>
            <w:r>
              <w:t>Einatmen:</w:t>
            </w:r>
            <w:r>
              <w:tab/>
            </w:r>
            <w:r w:rsidR="003217FE" w:rsidRPr="003217FE">
              <w:t>Nicht relevant</w:t>
            </w:r>
            <w:r w:rsidR="003217FE">
              <w:t>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Sachgerechte Entsorgung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AF4634" w:rsidRPr="0000104E" w:rsidTr="008D65FF">
        <w:tc>
          <w:tcPr>
            <w:tcW w:w="278" w:type="dxa"/>
            <w:shd w:val="clear" w:color="auto" w:fill="FF0000"/>
          </w:tcPr>
          <w:p w:rsidR="00AF4634" w:rsidRPr="0000104E" w:rsidRDefault="00AF4634" w:rsidP="00D16711"/>
        </w:tc>
        <w:tc>
          <w:tcPr>
            <w:tcW w:w="2942" w:type="dxa"/>
          </w:tcPr>
          <w:p w:rsidR="00AF4634" w:rsidRPr="0000104E" w:rsidRDefault="00AF4634" w:rsidP="00D16711">
            <w:r>
              <w:rPr>
                <w:rFonts w:ascii="Arial" w:hAnsi="Arial" w:cs="Arial"/>
                <w:noProof/>
                <w:color w:val="FFFFFF"/>
                <w:lang w:eastAsia="de-DE" w:bidi="ar-SA"/>
              </w:rPr>
              <w:drawing>
                <wp:inline distT="0" distB="0" distL="0" distR="0">
                  <wp:extent cx="828000" cy="624632"/>
                  <wp:effectExtent l="1905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624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3217FE" w:rsidRDefault="003217FE" w:rsidP="003217FE">
            <w:r>
              <w:t>Abfallschlüssel Produktreste</w:t>
            </w:r>
          </w:p>
          <w:p w:rsidR="003217FE" w:rsidRDefault="003217FE" w:rsidP="003217FE">
            <w:r w:rsidRPr="003217FE">
              <w:t>200130</w:t>
            </w:r>
            <w:r>
              <w:tab/>
              <w:t xml:space="preserve">Siedlungsabfälle (Haushaltsabfälle und ähnliche gewerbliche und industrielle Abfälle sowie Abfälle aus Einrichtungen), einschließlich getrennt gesammelter Fraktionen; Getrennt gesammelte Fraktionen (außer 15 01); Reinigungsmittel mit Ausnahme derjenigen, die unter 20 01 29 fallen </w:t>
            </w:r>
          </w:p>
          <w:p w:rsidR="003217FE" w:rsidRDefault="003217FE" w:rsidP="003217FE">
            <w:r>
              <w:t>Abfallschlüssel ungereinigte Verpackung</w:t>
            </w:r>
          </w:p>
          <w:p w:rsidR="003217FE" w:rsidRDefault="003217FE" w:rsidP="003217FE">
            <w:r w:rsidRPr="003217FE">
              <w:t>150102</w:t>
            </w:r>
            <w:r>
              <w:tab/>
              <w:t>Verpackungsabfall, Aufsaugmassen, Wischtücher, Filtermaterialien und Schutzkleidung (a. n. g.); Verpackungen (einschließlich getrennt gesammelter kommunaler Verpackungsabfälle); Verpackungen aus Kunststoff</w:t>
            </w:r>
          </w:p>
          <w:p w:rsidR="00440666" w:rsidRPr="0000104E" w:rsidRDefault="003217FE" w:rsidP="00BE261A">
            <w:r>
              <w:t>Entsorgung gem. den behördlichen Vorschriften. Über ein duales System entsorgen. Behälter vor Entsorgung vollständig entleeren.</w:t>
            </w:r>
          </w:p>
        </w:tc>
        <w:tc>
          <w:tcPr>
            <w:tcW w:w="277" w:type="dxa"/>
            <w:shd w:val="clear" w:color="auto" w:fill="FF0000"/>
          </w:tcPr>
          <w:p w:rsidR="00AF4634" w:rsidRPr="0000104E" w:rsidRDefault="00AF4634" w:rsidP="00D16711"/>
        </w:tc>
      </w:tr>
      <w:tr w:rsidR="00AF4634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AF4634" w:rsidRPr="0000104E" w:rsidRDefault="00AF4634" w:rsidP="00D16711"/>
        </w:tc>
        <w:tc>
          <w:tcPr>
            <w:tcW w:w="2942" w:type="dxa"/>
            <w:shd w:val="clear" w:color="auto" w:fill="FF0000"/>
          </w:tcPr>
          <w:p w:rsidR="00AF4634" w:rsidRPr="0000104E" w:rsidRDefault="00AF4634" w:rsidP="00D16711"/>
        </w:tc>
        <w:tc>
          <w:tcPr>
            <w:tcW w:w="7276" w:type="dxa"/>
            <w:gridSpan w:val="3"/>
            <w:shd w:val="clear" w:color="auto" w:fill="FF0000"/>
          </w:tcPr>
          <w:p w:rsidR="00AF4634" w:rsidRPr="0000104E" w:rsidRDefault="00AF4634" w:rsidP="00D16711"/>
        </w:tc>
        <w:tc>
          <w:tcPr>
            <w:tcW w:w="277" w:type="dxa"/>
            <w:shd w:val="clear" w:color="auto" w:fill="FF0000"/>
          </w:tcPr>
          <w:p w:rsidR="00AF4634" w:rsidRPr="0000104E" w:rsidRDefault="00AF4634" w:rsidP="00D16711"/>
        </w:tc>
      </w:tr>
      <w:tr w:rsidR="00AF4634" w:rsidRPr="0000104E" w:rsidTr="008D65FF">
        <w:tc>
          <w:tcPr>
            <w:tcW w:w="278" w:type="dxa"/>
            <w:shd w:val="clear" w:color="auto" w:fill="FF0000"/>
          </w:tcPr>
          <w:p w:rsidR="00AF4634" w:rsidRPr="0000104E" w:rsidRDefault="00AF4634" w:rsidP="007269DC"/>
        </w:tc>
        <w:tc>
          <w:tcPr>
            <w:tcW w:w="2942" w:type="dxa"/>
            <w:vAlign w:val="bottom"/>
          </w:tcPr>
          <w:p w:rsidR="00AF4634" w:rsidRPr="0000104E" w:rsidRDefault="00AF4634" w:rsidP="00496E75">
            <w:r>
              <w:t>Stand:</w:t>
            </w:r>
          </w:p>
        </w:tc>
        <w:tc>
          <w:tcPr>
            <w:tcW w:w="3638" w:type="dxa"/>
            <w:vAlign w:val="bottom"/>
          </w:tcPr>
          <w:sdt>
            <w:sdtPr>
              <w:id w:val="30434329"/>
              <w:docPartObj>
                <w:docPartGallery w:val="Page Numbers (Top of Page)"/>
                <w:docPartUnique/>
              </w:docPartObj>
            </w:sdtPr>
            <w:sdtEndPr/>
            <w:sdtContent>
              <w:p w:rsidR="00AF4634" w:rsidRDefault="00AF4634" w:rsidP="00AF4634">
                <w:r>
                  <w:t xml:space="preserve">Seite </w:t>
                </w:r>
                <w:r w:rsidR="007B15BD">
                  <w:fldChar w:fldCharType="begin"/>
                </w:r>
                <w:r w:rsidR="007B15BD">
                  <w:instrText xml:space="preserve"> PAGE </w:instrText>
                </w:r>
                <w:r w:rsidR="007B15BD">
                  <w:fldChar w:fldCharType="separate"/>
                </w:r>
                <w:r w:rsidR="007B15BD">
                  <w:rPr>
                    <w:noProof/>
                  </w:rPr>
                  <w:t>2</w:t>
                </w:r>
                <w:r w:rsidR="007B15BD">
                  <w:rPr>
                    <w:noProof/>
                  </w:rPr>
                  <w:fldChar w:fldCharType="end"/>
                </w:r>
                <w:r>
                  <w:t xml:space="preserve"> von </w:t>
                </w:r>
                <w:r w:rsidR="007B15BD">
                  <w:fldChar w:fldCharType="begin"/>
                </w:r>
                <w:r w:rsidR="007B15BD">
                  <w:instrText xml:space="preserve"> NUMPAGES  </w:instrText>
                </w:r>
                <w:r w:rsidR="007B15BD">
                  <w:fldChar w:fldCharType="separate"/>
                </w:r>
                <w:r w:rsidR="007B15BD">
                  <w:rPr>
                    <w:noProof/>
                  </w:rPr>
                  <w:t>2</w:t>
                </w:r>
                <w:r w:rsidR="007B15BD">
                  <w:rPr>
                    <w:noProof/>
                  </w:rPr>
                  <w:fldChar w:fldCharType="end"/>
                </w:r>
              </w:p>
            </w:sdtContent>
          </w:sdt>
        </w:tc>
        <w:tc>
          <w:tcPr>
            <w:tcW w:w="3638" w:type="dxa"/>
            <w:gridSpan w:val="2"/>
            <w:vAlign w:val="bottom"/>
          </w:tcPr>
          <w:p w:rsidR="00AF4634" w:rsidRDefault="00AF4634" w:rsidP="00AF4634"/>
          <w:p w:rsidR="00AF4634" w:rsidRDefault="00AF4634" w:rsidP="00AF4634"/>
          <w:p w:rsidR="00AF4634" w:rsidRPr="00AF4634" w:rsidRDefault="00AF4634" w:rsidP="00AF4634">
            <w:pPr>
              <w:tabs>
                <w:tab w:val="left" w:pos="3207"/>
              </w:tabs>
              <w:spacing w:after="0"/>
              <w:rPr>
                <w:u w:val="single"/>
              </w:rPr>
            </w:pPr>
            <w:r w:rsidRPr="00AF4634">
              <w:rPr>
                <w:u w:val="single"/>
              </w:rPr>
              <w:tab/>
            </w:r>
          </w:p>
          <w:p w:rsidR="00AF4634" w:rsidRPr="0000104E" w:rsidRDefault="00AF4634" w:rsidP="00AF4634">
            <w:r>
              <w:t>Unterschrift</w:t>
            </w:r>
          </w:p>
        </w:tc>
        <w:tc>
          <w:tcPr>
            <w:tcW w:w="277" w:type="dxa"/>
            <w:shd w:val="clear" w:color="auto" w:fill="FF0000"/>
          </w:tcPr>
          <w:p w:rsidR="00AF4634" w:rsidRPr="0000104E" w:rsidRDefault="00AF4634" w:rsidP="007269DC"/>
        </w:tc>
      </w:tr>
      <w:tr w:rsidR="002F6726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  <w:shd w:val="clear" w:color="auto" w:fill="FF0000"/>
          </w:tcPr>
          <w:p w:rsidR="002F6726" w:rsidRPr="0000104E" w:rsidRDefault="002F6726" w:rsidP="007269DC"/>
        </w:tc>
        <w:tc>
          <w:tcPr>
            <w:tcW w:w="7276" w:type="dxa"/>
            <w:gridSpan w:val="3"/>
            <w:shd w:val="clear" w:color="auto" w:fill="FF0000"/>
          </w:tcPr>
          <w:p w:rsidR="002F6726" w:rsidRPr="0000104E" w:rsidRDefault="002F6726" w:rsidP="007269DC"/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</w:tbl>
    <w:p w:rsidR="00AF5BEE" w:rsidRPr="00440666" w:rsidRDefault="00AF5BEE" w:rsidP="007269DC">
      <w:pPr>
        <w:rPr>
          <w:sz w:val="6"/>
          <w:szCs w:val="6"/>
        </w:rPr>
      </w:pPr>
    </w:p>
    <w:sectPr w:rsidR="00AF5BEE" w:rsidRPr="00440666" w:rsidSect="002F6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56CE"/>
    <w:rsid w:val="0000104E"/>
    <w:rsid w:val="00007AF7"/>
    <w:rsid w:val="000502EC"/>
    <w:rsid w:val="00083724"/>
    <w:rsid w:val="001373FF"/>
    <w:rsid w:val="001F616D"/>
    <w:rsid w:val="002844DE"/>
    <w:rsid w:val="002F6726"/>
    <w:rsid w:val="003217FE"/>
    <w:rsid w:val="003327F3"/>
    <w:rsid w:val="00395F07"/>
    <w:rsid w:val="003A61F6"/>
    <w:rsid w:val="003F56CE"/>
    <w:rsid w:val="00407340"/>
    <w:rsid w:val="0043080D"/>
    <w:rsid w:val="004366B7"/>
    <w:rsid w:val="00440666"/>
    <w:rsid w:val="00496E75"/>
    <w:rsid w:val="005B77B7"/>
    <w:rsid w:val="005C7668"/>
    <w:rsid w:val="00702844"/>
    <w:rsid w:val="00724D97"/>
    <w:rsid w:val="007269DC"/>
    <w:rsid w:val="007637E4"/>
    <w:rsid w:val="00774D55"/>
    <w:rsid w:val="007B15BD"/>
    <w:rsid w:val="007D598A"/>
    <w:rsid w:val="008027F0"/>
    <w:rsid w:val="008272FE"/>
    <w:rsid w:val="00873122"/>
    <w:rsid w:val="008D65FF"/>
    <w:rsid w:val="009156CC"/>
    <w:rsid w:val="00924748"/>
    <w:rsid w:val="00932E38"/>
    <w:rsid w:val="0099076B"/>
    <w:rsid w:val="009A3828"/>
    <w:rsid w:val="009C2A0B"/>
    <w:rsid w:val="009F35D9"/>
    <w:rsid w:val="00A2235A"/>
    <w:rsid w:val="00A469EA"/>
    <w:rsid w:val="00AF4634"/>
    <w:rsid w:val="00AF5BEE"/>
    <w:rsid w:val="00BE261A"/>
    <w:rsid w:val="00CE0D58"/>
    <w:rsid w:val="00D91C1A"/>
    <w:rsid w:val="00EE37C1"/>
    <w:rsid w:val="00F37140"/>
    <w:rsid w:val="00FA79BD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55EE"/>
  <w15:docId w15:val="{B1D500E0-802D-44BA-B196-DC6D5CEB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5484"/>
    <w:pPr>
      <w:spacing w:before="0" w:after="120" w:line="240" w:lineRule="auto"/>
    </w:pPr>
    <w:rPr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5FF"/>
    <w:pPr>
      <w:pBdr>
        <w:top w:val="single" w:sz="24" w:space="0" w:color="FF0000"/>
        <w:left w:val="single" w:sz="24" w:space="0" w:color="FF0000"/>
        <w:bottom w:val="single" w:sz="24" w:space="0" w:color="FF0000"/>
        <w:right w:val="single" w:sz="24" w:space="0" w:color="FF0000"/>
      </w:pBdr>
      <w:shd w:val="clear" w:color="auto" w:fill="FF0000"/>
      <w:spacing w:after="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2FE"/>
    <w:pPr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69DC"/>
    <w:pPr>
      <w:spacing w:before="120" w:after="0"/>
      <w:outlineLvl w:val="2"/>
    </w:pPr>
    <w:rPr>
      <w:b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72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72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72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72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7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7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0104E"/>
    <w:pPr>
      <w:spacing w:before="1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0104E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65FF"/>
    <w:rPr>
      <w:b/>
      <w:bCs/>
      <w:caps/>
      <w:color w:val="FFFFFF" w:themeColor="background1"/>
      <w:spacing w:val="15"/>
      <w:shd w:val="clear" w:color="auto" w:fill="FF000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2FE"/>
    <w:rPr>
      <w:caps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69DC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726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726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F6726"/>
    <w:rPr>
      <w:b/>
      <w:bCs/>
      <w:color w:val="365F91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04E"/>
    <w:pPr>
      <w:spacing w:before="120" w:after="24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04E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2F6726"/>
    <w:rPr>
      <w:b/>
      <w:bCs/>
    </w:rPr>
  </w:style>
  <w:style w:type="character" w:styleId="Hervorhebung">
    <w:name w:val="Emphasis"/>
    <w:uiPriority w:val="20"/>
    <w:qFormat/>
    <w:rsid w:val="002F6726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2F6726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F6726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2F672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F672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F6726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72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726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2F6726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2F6726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2F6726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2F6726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2F6726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F672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66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icherheitsdatenbl&#228;tter\Reinhold\Vorlagen%20ab%202015_nur%20f&#252;r%20Mario\Vorlage%20Betriebsanweisung_(BA)03_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Betriebsanweisung_(BA)03_rot.dotx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Jana Hofmann</cp:lastModifiedBy>
  <cp:revision>5</cp:revision>
  <dcterms:created xsi:type="dcterms:W3CDTF">2019-09-06T12:21:00Z</dcterms:created>
  <dcterms:modified xsi:type="dcterms:W3CDTF">2021-08-30T11:22:00Z</dcterms:modified>
</cp:coreProperties>
</file>